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897C" w14:textId="77777777" w:rsidR="00DB1AB3" w:rsidRDefault="00DB1AB3" w:rsidP="00DB1AB3">
      <w:pPr>
        <w:pStyle w:val="Infotext"/>
        <w:spacing w:after="480"/>
        <w:rPr>
          <w:rFonts w:ascii="Arial Black" w:hAnsi="Arial Black"/>
          <w:color w:val="999999"/>
          <w:sz w:val="36"/>
          <w:szCs w:val="36"/>
        </w:rPr>
      </w:pPr>
      <w:r>
        <w:rPr>
          <w:noProof/>
        </w:rPr>
        <w:drawing>
          <wp:inline distT="0" distB="0" distL="0" distR="0" wp14:anchorId="33BAD087" wp14:editId="1BC4C70D">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W w:w="0" w:type="auto"/>
        <w:tblLook w:val="0000" w:firstRow="0" w:lastRow="0" w:firstColumn="0" w:lastColumn="0" w:noHBand="0" w:noVBand="0"/>
        <w:tblCaption w:val="Committee report details"/>
        <w:tblDescription w:val="Committee report detaals"/>
      </w:tblPr>
      <w:tblGrid>
        <w:gridCol w:w="3408"/>
        <w:gridCol w:w="4901"/>
      </w:tblGrid>
      <w:tr w:rsidR="005441BD" w:rsidRPr="007D7E0B" w14:paraId="73A0496E" w14:textId="77777777" w:rsidTr="005337B2">
        <w:trPr>
          <w:tblHeader/>
        </w:trPr>
        <w:tc>
          <w:tcPr>
            <w:tcW w:w="3474" w:type="dxa"/>
            <w:tcBorders>
              <w:bottom w:val="single" w:sz="18" w:space="0" w:color="auto"/>
            </w:tcBorders>
          </w:tcPr>
          <w:p w14:paraId="747348DD" w14:textId="77777777" w:rsidR="005441BD" w:rsidRPr="00DB1AB3" w:rsidRDefault="00DB1AB3" w:rsidP="005337B2">
            <w:pPr>
              <w:pStyle w:val="Heading1"/>
            </w:pPr>
            <w:r>
              <w:t>Report f</w:t>
            </w:r>
            <w:r w:rsidRPr="00DB1AB3">
              <w:t>or:</w:t>
            </w:r>
          </w:p>
          <w:p w14:paraId="05BF3901" w14:textId="77777777" w:rsidR="005441BD" w:rsidRPr="00656C6A" w:rsidRDefault="005441BD" w:rsidP="005337B2">
            <w:pPr>
              <w:pStyle w:val="Heading1"/>
            </w:pPr>
          </w:p>
        </w:tc>
        <w:tc>
          <w:tcPr>
            <w:tcW w:w="5051" w:type="dxa"/>
            <w:tcBorders>
              <w:bottom w:val="single" w:sz="18" w:space="0" w:color="auto"/>
            </w:tcBorders>
          </w:tcPr>
          <w:p w14:paraId="0ED09993" w14:textId="6E770422" w:rsidR="00B26D5D" w:rsidRPr="004F55B7" w:rsidRDefault="00403953" w:rsidP="00B85A69">
            <w:pPr>
              <w:pStyle w:val="Heading1"/>
              <w:rPr>
                <w:szCs w:val="28"/>
              </w:rPr>
            </w:pPr>
            <w:r>
              <w:t xml:space="preserve">Planning Policy </w:t>
            </w:r>
            <w:r w:rsidR="00DB1AB3">
              <w:t xml:space="preserve">Advisory Panel </w:t>
            </w:r>
          </w:p>
        </w:tc>
      </w:tr>
      <w:tr w:rsidR="005441BD" w:rsidRPr="007D7E0B" w14:paraId="1D86A18F" w14:textId="77777777" w:rsidTr="00B85A69">
        <w:tc>
          <w:tcPr>
            <w:tcW w:w="3474" w:type="dxa"/>
            <w:tcBorders>
              <w:top w:val="single" w:sz="18" w:space="0" w:color="auto"/>
            </w:tcBorders>
            <w:tcMar>
              <w:top w:w="28" w:type="dxa"/>
              <w:bottom w:w="28" w:type="dxa"/>
            </w:tcMar>
          </w:tcPr>
          <w:p w14:paraId="672E0788" w14:textId="77777777" w:rsidR="005441BD" w:rsidRPr="007D7E0B" w:rsidRDefault="005441BD" w:rsidP="00B85A69">
            <w:pPr>
              <w:pStyle w:val="Infotext"/>
              <w:rPr>
                <w:rFonts w:ascii="Arial Black" w:hAnsi="Arial Black" w:cs="Arial"/>
              </w:rPr>
            </w:pPr>
            <w:r w:rsidRPr="007D7E0B">
              <w:rPr>
                <w:rFonts w:ascii="Arial Black" w:hAnsi="Arial Black"/>
              </w:rPr>
              <w:t>Date</w:t>
            </w:r>
            <w:r w:rsidR="007A012E">
              <w:rPr>
                <w:rFonts w:ascii="Arial Black" w:hAnsi="Arial Black"/>
              </w:rPr>
              <w:t xml:space="preserve"> of Meeting</w:t>
            </w:r>
            <w:r w:rsidRPr="007D7E0B">
              <w:rPr>
                <w:rFonts w:ascii="Arial Black" w:hAnsi="Arial Black"/>
              </w:rPr>
              <w:t>:</w:t>
            </w:r>
          </w:p>
        </w:tc>
        <w:tc>
          <w:tcPr>
            <w:tcW w:w="5051" w:type="dxa"/>
            <w:tcBorders>
              <w:top w:val="single" w:sz="18" w:space="0" w:color="auto"/>
            </w:tcBorders>
            <w:tcMar>
              <w:top w:w="28" w:type="dxa"/>
              <w:bottom w:w="28" w:type="dxa"/>
            </w:tcMar>
          </w:tcPr>
          <w:p w14:paraId="6BE3CEEF" w14:textId="156C6DC1" w:rsidR="005441BD" w:rsidRPr="00026E61" w:rsidRDefault="00BC0364">
            <w:pPr>
              <w:pStyle w:val="Infotext"/>
              <w:rPr>
                <w:rFonts w:cs="Arial"/>
                <w:sz w:val="24"/>
                <w:szCs w:val="24"/>
              </w:rPr>
            </w:pPr>
            <w:r>
              <w:rPr>
                <w:rFonts w:cs="Arial"/>
                <w:sz w:val="24"/>
                <w:szCs w:val="24"/>
              </w:rPr>
              <w:t>3 October 2022</w:t>
            </w:r>
          </w:p>
        </w:tc>
      </w:tr>
      <w:tr w:rsidR="005441BD" w:rsidRPr="007D7E0B" w14:paraId="06DAEBB8" w14:textId="77777777" w:rsidTr="00B85A69">
        <w:tc>
          <w:tcPr>
            <w:tcW w:w="3474" w:type="dxa"/>
            <w:tcMar>
              <w:top w:w="28" w:type="dxa"/>
              <w:bottom w:w="28" w:type="dxa"/>
            </w:tcMar>
          </w:tcPr>
          <w:p w14:paraId="50F0B2CE" w14:textId="77777777" w:rsidR="005441BD" w:rsidRPr="007D7E0B" w:rsidRDefault="005441BD" w:rsidP="00B85A69">
            <w:pPr>
              <w:pStyle w:val="Infotext"/>
              <w:rPr>
                <w:rFonts w:ascii="Arial Black" w:hAnsi="Arial Black"/>
              </w:rPr>
            </w:pPr>
            <w:r w:rsidRPr="007D7E0B">
              <w:rPr>
                <w:rFonts w:ascii="Arial Black" w:hAnsi="Arial Black" w:cs="Arial"/>
              </w:rPr>
              <w:t>Subject:</w:t>
            </w:r>
          </w:p>
        </w:tc>
        <w:tc>
          <w:tcPr>
            <w:tcW w:w="5051" w:type="dxa"/>
            <w:tcMar>
              <w:top w:w="28" w:type="dxa"/>
              <w:bottom w:w="28" w:type="dxa"/>
            </w:tcMar>
          </w:tcPr>
          <w:p w14:paraId="3D086A18" w14:textId="1D0039FD" w:rsidR="005441BD" w:rsidRPr="00026E61" w:rsidRDefault="003C51CA">
            <w:pPr>
              <w:pStyle w:val="Infotext"/>
              <w:rPr>
                <w:rFonts w:cs="Arial"/>
                <w:sz w:val="24"/>
                <w:szCs w:val="24"/>
              </w:rPr>
            </w:pPr>
            <w:bookmarkStart w:id="0" w:name="_Hlk114743084"/>
            <w:r>
              <w:rPr>
                <w:rFonts w:cs="Arial"/>
                <w:sz w:val="24"/>
                <w:szCs w:val="24"/>
              </w:rPr>
              <w:t xml:space="preserve">Community Infrastructure Levy (CIL) </w:t>
            </w:r>
            <w:r w:rsidR="00AE0D86">
              <w:rPr>
                <w:rFonts w:cs="Arial"/>
                <w:sz w:val="24"/>
                <w:szCs w:val="24"/>
              </w:rPr>
              <w:t>Processes Review</w:t>
            </w:r>
            <w:r w:rsidR="00403953">
              <w:rPr>
                <w:rFonts w:cs="Arial"/>
                <w:sz w:val="24"/>
                <w:szCs w:val="24"/>
              </w:rPr>
              <w:t xml:space="preserve"> </w:t>
            </w:r>
            <w:r w:rsidR="00F777A7">
              <w:rPr>
                <w:rFonts w:cs="Arial"/>
                <w:sz w:val="24"/>
                <w:szCs w:val="24"/>
              </w:rPr>
              <w:t>–</w:t>
            </w:r>
            <w:r w:rsidR="00403953">
              <w:rPr>
                <w:rFonts w:cs="Arial"/>
                <w:sz w:val="24"/>
                <w:szCs w:val="24"/>
              </w:rPr>
              <w:t xml:space="preserve"> </w:t>
            </w:r>
            <w:r w:rsidR="00F777A7">
              <w:rPr>
                <w:rFonts w:cs="Arial"/>
                <w:sz w:val="24"/>
                <w:szCs w:val="24"/>
              </w:rPr>
              <w:t xml:space="preserve">proposed </w:t>
            </w:r>
            <w:r w:rsidR="00403953">
              <w:rPr>
                <w:rFonts w:cs="Arial"/>
                <w:sz w:val="24"/>
                <w:szCs w:val="24"/>
              </w:rPr>
              <w:t>scope</w:t>
            </w:r>
            <w:bookmarkEnd w:id="0"/>
          </w:p>
        </w:tc>
      </w:tr>
      <w:tr w:rsidR="005441BD" w:rsidRPr="007D7E0B" w14:paraId="10A4A937" w14:textId="77777777" w:rsidTr="00B85A69">
        <w:tc>
          <w:tcPr>
            <w:tcW w:w="3474" w:type="dxa"/>
            <w:tcMar>
              <w:top w:w="28" w:type="dxa"/>
              <w:bottom w:w="28" w:type="dxa"/>
            </w:tcMar>
          </w:tcPr>
          <w:p w14:paraId="1791B2E2" w14:textId="77777777" w:rsidR="005441BD" w:rsidRPr="0064262B" w:rsidRDefault="005441BD" w:rsidP="00B85A69">
            <w:pPr>
              <w:pStyle w:val="Infotext"/>
            </w:pPr>
            <w:r w:rsidRPr="007D7E0B">
              <w:rPr>
                <w:rFonts w:ascii="Arial Black" w:hAnsi="Arial Black" w:cs="Arial"/>
              </w:rPr>
              <w:t>Key Decision:</w:t>
            </w:r>
          </w:p>
        </w:tc>
        <w:tc>
          <w:tcPr>
            <w:tcW w:w="5051" w:type="dxa"/>
            <w:tcMar>
              <w:top w:w="28" w:type="dxa"/>
              <w:bottom w:w="28" w:type="dxa"/>
            </w:tcMar>
          </w:tcPr>
          <w:p w14:paraId="4B88550D" w14:textId="57A7740E" w:rsidR="005441BD" w:rsidRPr="00026E61" w:rsidRDefault="005441BD">
            <w:pPr>
              <w:pStyle w:val="Infotext"/>
              <w:rPr>
                <w:rFonts w:cs="Arial"/>
                <w:sz w:val="24"/>
                <w:szCs w:val="24"/>
              </w:rPr>
            </w:pPr>
            <w:r w:rsidRPr="00026E61">
              <w:rPr>
                <w:rFonts w:cs="Arial"/>
                <w:sz w:val="24"/>
                <w:szCs w:val="24"/>
              </w:rPr>
              <w:t>No</w:t>
            </w:r>
            <w:r w:rsidR="00CA233D">
              <w:rPr>
                <w:rFonts w:cs="Arial"/>
                <w:sz w:val="24"/>
                <w:szCs w:val="24"/>
              </w:rPr>
              <w:t xml:space="preserve"> –</w:t>
            </w:r>
            <w:r w:rsidR="009263F0">
              <w:rPr>
                <w:rFonts w:cs="Arial"/>
                <w:sz w:val="24"/>
                <w:szCs w:val="24"/>
              </w:rPr>
              <w:t>but note the Report is for</w:t>
            </w:r>
            <w:r w:rsidR="00CA233D">
              <w:rPr>
                <w:rFonts w:cs="Arial"/>
                <w:sz w:val="24"/>
                <w:szCs w:val="24"/>
              </w:rPr>
              <w:t xml:space="preserve"> information only</w:t>
            </w:r>
          </w:p>
          <w:p w14:paraId="04A387FD" w14:textId="77777777" w:rsidR="0099076B" w:rsidRPr="00026E61" w:rsidRDefault="0099076B" w:rsidP="00AE0D86">
            <w:pPr>
              <w:pStyle w:val="Infotext"/>
              <w:rPr>
                <w:rFonts w:cs="Arial"/>
                <w:sz w:val="24"/>
                <w:szCs w:val="24"/>
              </w:rPr>
            </w:pPr>
          </w:p>
        </w:tc>
      </w:tr>
      <w:tr w:rsidR="005441BD" w:rsidRPr="007D7E0B" w14:paraId="454ADD95" w14:textId="77777777" w:rsidTr="00B85A69">
        <w:tc>
          <w:tcPr>
            <w:tcW w:w="3474" w:type="dxa"/>
            <w:tcMar>
              <w:top w:w="28" w:type="dxa"/>
              <w:bottom w:w="28" w:type="dxa"/>
            </w:tcMar>
          </w:tcPr>
          <w:p w14:paraId="17FC4E38" w14:textId="77777777" w:rsidR="005441BD" w:rsidRPr="007D7E0B" w:rsidRDefault="005441BD" w:rsidP="00B85A69">
            <w:pPr>
              <w:pStyle w:val="Infotext"/>
              <w:rPr>
                <w:rFonts w:ascii="Arial Black" w:hAnsi="Arial Black" w:cs="Arial"/>
              </w:rPr>
            </w:pPr>
            <w:r w:rsidRPr="007D7E0B">
              <w:rPr>
                <w:rFonts w:ascii="Arial Black" w:hAnsi="Arial Black" w:cs="Arial"/>
              </w:rPr>
              <w:t>Responsible Officer:</w:t>
            </w:r>
          </w:p>
        </w:tc>
        <w:tc>
          <w:tcPr>
            <w:tcW w:w="5051" w:type="dxa"/>
            <w:tcMar>
              <w:top w:w="28" w:type="dxa"/>
              <w:bottom w:w="28" w:type="dxa"/>
            </w:tcMar>
          </w:tcPr>
          <w:p w14:paraId="5ED24FC3" w14:textId="47EBE189" w:rsidR="00036698" w:rsidRPr="00026E61" w:rsidRDefault="00845AAB">
            <w:pPr>
              <w:pStyle w:val="Infotext"/>
              <w:rPr>
                <w:rFonts w:cs="Arial"/>
                <w:sz w:val="24"/>
                <w:szCs w:val="24"/>
              </w:rPr>
            </w:pPr>
            <w:r>
              <w:rPr>
                <w:rFonts w:cs="Arial"/>
                <w:sz w:val="24"/>
                <w:szCs w:val="24"/>
              </w:rPr>
              <w:t xml:space="preserve">David Hughes </w:t>
            </w:r>
            <w:r w:rsidR="00AA3409">
              <w:rPr>
                <w:rFonts w:cs="Arial"/>
                <w:sz w:val="24"/>
                <w:szCs w:val="24"/>
              </w:rPr>
              <w:t>–</w:t>
            </w:r>
            <w:r>
              <w:rPr>
                <w:rFonts w:cs="Arial"/>
                <w:sz w:val="24"/>
                <w:szCs w:val="24"/>
              </w:rPr>
              <w:t xml:space="preserve"> </w:t>
            </w:r>
            <w:r w:rsidR="00AA3409">
              <w:rPr>
                <w:rFonts w:cs="Arial"/>
                <w:sz w:val="24"/>
                <w:szCs w:val="24"/>
              </w:rPr>
              <w:t>Planning Policy Manager</w:t>
            </w:r>
          </w:p>
        </w:tc>
      </w:tr>
      <w:tr w:rsidR="005441BD" w:rsidRPr="007D7E0B" w14:paraId="67151276" w14:textId="77777777" w:rsidTr="00B85A69">
        <w:tc>
          <w:tcPr>
            <w:tcW w:w="3474" w:type="dxa"/>
            <w:tcMar>
              <w:top w:w="28" w:type="dxa"/>
              <w:bottom w:w="28" w:type="dxa"/>
            </w:tcMar>
          </w:tcPr>
          <w:p w14:paraId="64236CA0" w14:textId="77777777" w:rsidR="005441BD" w:rsidRPr="007D7E0B" w:rsidRDefault="005441BD" w:rsidP="00B85A69">
            <w:pPr>
              <w:pStyle w:val="Infotext"/>
              <w:rPr>
                <w:rFonts w:ascii="Arial Black" w:hAnsi="Arial Black" w:cs="Arial"/>
              </w:rPr>
            </w:pPr>
            <w:r w:rsidRPr="007D7E0B">
              <w:rPr>
                <w:rFonts w:ascii="Arial Black" w:hAnsi="Arial Black" w:cs="Arial"/>
              </w:rPr>
              <w:t>Portfolio Holder:</w:t>
            </w:r>
          </w:p>
        </w:tc>
        <w:tc>
          <w:tcPr>
            <w:tcW w:w="5051" w:type="dxa"/>
            <w:tcMar>
              <w:top w:w="28" w:type="dxa"/>
              <w:bottom w:w="28" w:type="dxa"/>
            </w:tcMar>
          </w:tcPr>
          <w:p w14:paraId="4D94F8AE" w14:textId="246BBD45" w:rsidR="008D0B76" w:rsidRPr="00026E61" w:rsidRDefault="00CE731D">
            <w:pPr>
              <w:pStyle w:val="Infotext"/>
              <w:rPr>
                <w:rFonts w:cs="Arial"/>
                <w:sz w:val="24"/>
                <w:szCs w:val="24"/>
              </w:rPr>
            </w:pPr>
            <w:r w:rsidRPr="004F55B7">
              <w:rPr>
                <w:rFonts w:cs="Arial"/>
                <w:sz w:val="24"/>
                <w:szCs w:val="24"/>
              </w:rPr>
              <w:t>Councillor Marilyn Ashton, Deputy Leader of the Council, Planning &amp; Regeneration Portfolio Holder</w:t>
            </w:r>
          </w:p>
        </w:tc>
      </w:tr>
      <w:tr w:rsidR="005441BD" w:rsidRPr="007D7E0B" w14:paraId="16E0D62B" w14:textId="77777777" w:rsidTr="00B85A69">
        <w:tc>
          <w:tcPr>
            <w:tcW w:w="3474" w:type="dxa"/>
            <w:tcMar>
              <w:top w:w="28" w:type="dxa"/>
              <w:bottom w:w="28" w:type="dxa"/>
            </w:tcMar>
          </w:tcPr>
          <w:p w14:paraId="2E721E3F" w14:textId="77777777" w:rsidR="005441BD" w:rsidRPr="007D7E0B" w:rsidRDefault="005441BD" w:rsidP="00B85A69">
            <w:pPr>
              <w:pStyle w:val="Infotext"/>
              <w:rPr>
                <w:rFonts w:ascii="Arial Black" w:hAnsi="Arial Black" w:cs="Arial"/>
              </w:rPr>
            </w:pPr>
            <w:r w:rsidRPr="007D7E0B">
              <w:rPr>
                <w:rFonts w:ascii="Arial Black" w:hAnsi="Arial Black" w:cs="Arial"/>
              </w:rPr>
              <w:t>Exempt:</w:t>
            </w:r>
          </w:p>
        </w:tc>
        <w:tc>
          <w:tcPr>
            <w:tcW w:w="5051" w:type="dxa"/>
            <w:tcMar>
              <w:top w:w="28" w:type="dxa"/>
              <w:bottom w:w="28" w:type="dxa"/>
            </w:tcMar>
          </w:tcPr>
          <w:p w14:paraId="401C4070" w14:textId="39D2B7ED" w:rsidR="0099076B" w:rsidRPr="00026E61" w:rsidRDefault="005441BD" w:rsidP="007979A8">
            <w:pPr>
              <w:pStyle w:val="Infotext"/>
              <w:rPr>
                <w:rFonts w:cs="Arial"/>
                <w:sz w:val="24"/>
                <w:szCs w:val="24"/>
              </w:rPr>
            </w:pPr>
            <w:r w:rsidRPr="00026E61">
              <w:rPr>
                <w:rFonts w:cs="Arial"/>
                <w:sz w:val="24"/>
                <w:szCs w:val="24"/>
              </w:rPr>
              <w:t>No</w:t>
            </w:r>
          </w:p>
        </w:tc>
      </w:tr>
      <w:tr w:rsidR="0099076B" w:rsidRPr="007D7E0B" w14:paraId="46C1B06C" w14:textId="77777777" w:rsidTr="00B85A69">
        <w:tc>
          <w:tcPr>
            <w:tcW w:w="3474" w:type="dxa"/>
            <w:tcMar>
              <w:top w:w="28" w:type="dxa"/>
              <w:bottom w:w="28" w:type="dxa"/>
            </w:tcMar>
          </w:tcPr>
          <w:p w14:paraId="4A84DC0E" w14:textId="77777777" w:rsidR="0099076B" w:rsidRPr="007D7E0B" w:rsidRDefault="0099076B" w:rsidP="00B85A69">
            <w:pPr>
              <w:pStyle w:val="Infotext"/>
              <w:rPr>
                <w:rFonts w:ascii="Arial Black" w:hAnsi="Arial Black" w:cs="Arial"/>
              </w:rPr>
            </w:pPr>
            <w:r>
              <w:rPr>
                <w:rFonts w:ascii="Arial Black" w:hAnsi="Arial Black" w:cs="Arial"/>
              </w:rPr>
              <w:t>Decision subject to Call-in:</w:t>
            </w:r>
          </w:p>
        </w:tc>
        <w:tc>
          <w:tcPr>
            <w:tcW w:w="5051" w:type="dxa"/>
            <w:tcMar>
              <w:top w:w="28" w:type="dxa"/>
              <w:bottom w:w="28" w:type="dxa"/>
            </w:tcMar>
          </w:tcPr>
          <w:p w14:paraId="62A06EC7" w14:textId="79E97E6D" w:rsidR="00C4117C" w:rsidRDefault="0099076B">
            <w:pPr>
              <w:pStyle w:val="Infotext"/>
              <w:rPr>
                <w:rFonts w:cs="Arial"/>
                <w:sz w:val="24"/>
                <w:szCs w:val="24"/>
              </w:rPr>
            </w:pPr>
            <w:r w:rsidRPr="00026E61">
              <w:rPr>
                <w:rFonts w:cs="Arial"/>
                <w:sz w:val="24"/>
                <w:szCs w:val="24"/>
              </w:rPr>
              <w:t>No</w:t>
            </w:r>
          </w:p>
          <w:p w14:paraId="3FC6C007" w14:textId="77777777" w:rsidR="000D5D8B" w:rsidRPr="00026E61" w:rsidRDefault="000D5D8B">
            <w:pPr>
              <w:pStyle w:val="Infotext"/>
              <w:rPr>
                <w:rFonts w:cs="Arial"/>
                <w:sz w:val="24"/>
                <w:szCs w:val="24"/>
              </w:rPr>
            </w:pPr>
          </w:p>
        </w:tc>
      </w:tr>
      <w:tr w:rsidR="0064262B" w:rsidRPr="007D7E0B" w14:paraId="73CF4E26" w14:textId="77777777" w:rsidTr="00B85A69">
        <w:tc>
          <w:tcPr>
            <w:tcW w:w="3474" w:type="dxa"/>
            <w:tcMar>
              <w:top w:w="28" w:type="dxa"/>
              <w:bottom w:w="28" w:type="dxa"/>
            </w:tcMar>
          </w:tcPr>
          <w:p w14:paraId="0F99FDF2" w14:textId="77777777" w:rsidR="00D54435" w:rsidRPr="007D7E0B" w:rsidRDefault="0064262B" w:rsidP="00B85A69">
            <w:pPr>
              <w:pStyle w:val="Infotext"/>
              <w:rPr>
                <w:rFonts w:ascii="Arial Black" w:hAnsi="Arial Black" w:cs="Arial"/>
              </w:rPr>
            </w:pPr>
            <w:r>
              <w:rPr>
                <w:rFonts w:ascii="Arial Black" w:hAnsi="Arial Black" w:cs="Arial"/>
              </w:rPr>
              <w:t>Wards affected:</w:t>
            </w:r>
          </w:p>
        </w:tc>
        <w:tc>
          <w:tcPr>
            <w:tcW w:w="5051" w:type="dxa"/>
            <w:tcMar>
              <w:top w:w="28" w:type="dxa"/>
              <w:bottom w:w="28" w:type="dxa"/>
            </w:tcMar>
          </w:tcPr>
          <w:p w14:paraId="76AA06AF" w14:textId="2FF8BE2F" w:rsidR="0064262B" w:rsidRPr="00026E61" w:rsidRDefault="0065554E" w:rsidP="002D7BE3">
            <w:pPr>
              <w:pStyle w:val="Infotext"/>
              <w:rPr>
                <w:rFonts w:cs="Arial"/>
                <w:sz w:val="24"/>
                <w:szCs w:val="24"/>
              </w:rPr>
            </w:pPr>
            <w:r>
              <w:rPr>
                <w:rFonts w:cs="Arial"/>
                <w:sz w:val="24"/>
                <w:szCs w:val="24"/>
              </w:rPr>
              <w:t>All Wards</w:t>
            </w:r>
          </w:p>
        </w:tc>
      </w:tr>
      <w:tr w:rsidR="005441BD" w:rsidRPr="007D7E0B" w14:paraId="3A7EFAEE" w14:textId="77777777" w:rsidTr="00B85A69">
        <w:tc>
          <w:tcPr>
            <w:tcW w:w="3474" w:type="dxa"/>
            <w:tcMar>
              <w:top w:w="28" w:type="dxa"/>
              <w:bottom w:w="28" w:type="dxa"/>
            </w:tcMar>
          </w:tcPr>
          <w:p w14:paraId="72F5FB44" w14:textId="77777777" w:rsidR="005441BD" w:rsidRPr="007D7E0B" w:rsidRDefault="005441BD" w:rsidP="00B85A69">
            <w:pPr>
              <w:pStyle w:val="Infotext"/>
              <w:rPr>
                <w:rFonts w:ascii="Arial Black" w:hAnsi="Arial Black" w:cs="Arial"/>
              </w:rPr>
            </w:pPr>
            <w:r w:rsidRPr="007D7E0B">
              <w:rPr>
                <w:rFonts w:ascii="Arial Black" w:hAnsi="Arial Black" w:cs="Arial"/>
              </w:rPr>
              <w:t>Enclosures:</w:t>
            </w:r>
          </w:p>
        </w:tc>
        <w:tc>
          <w:tcPr>
            <w:tcW w:w="5051" w:type="dxa"/>
            <w:tcMar>
              <w:top w:w="28" w:type="dxa"/>
              <w:bottom w:w="28" w:type="dxa"/>
            </w:tcMar>
          </w:tcPr>
          <w:p w14:paraId="7A5CA4CD" w14:textId="0A073E93" w:rsidR="002E6EE9" w:rsidRPr="004F55B7" w:rsidRDefault="00594253" w:rsidP="002E6EE9">
            <w:pPr>
              <w:rPr>
                <w:rFonts w:eastAsia="Calibri" w:cs="Arial"/>
                <w:szCs w:val="24"/>
              </w:rPr>
            </w:pPr>
            <w:r w:rsidRPr="004F55B7">
              <w:rPr>
                <w:rFonts w:cs="Arial"/>
                <w:szCs w:val="24"/>
              </w:rPr>
              <w:t>A</w:t>
            </w:r>
            <w:r w:rsidR="0065554E">
              <w:rPr>
                <w:rFonts w:cs="Arial"/>
                <w:szCs w:val="24"/>
              </w:rPr>
              <w:t>ppendix</w:t>
            </w:r>
            <w:r w:rsidRPr="004F55B7">
              <w:rPr>
                <w:rFonts w:cs="Arial"/>
                <w:szCs w:val="24"/>
              </w:rPr>
              <w:t xml:space="preserve"> A - </w:t>
            </w:r>
            <w:r w:rsidR="002E6EE9" w:rsidRPr="004F55B7">
              <w:rPr>
                <w:rFonts w:eastAsia="Calibri" w:cs="Arial"/>
                <w:szCs w:val="24"/>
              </w:rPr>
              <w:t xml:space="preserve">CIL </w:t>
            </w:r>
            <w:r w:rsidR="00913608" w:rsidRPr="004F55B7">
              <w:rPr>
                <w:rFonts w:eastAsia="Calibri" w:cs="Arial"/>
                <w:szCs w:val="24"/>
              </w:rPr>
              <w:t>Balance Overview</w:t>
            </w:r>
          </w:p>
          <w:p w14:paraId="6910F8D7" w14:textId="6E391BFC" w:rsidR="00DB47FF" w:rsidRPr="004F55B7" w:rsidRDefault="00F3431C" w:rsidP="00B85A69">
            <w:pPr>
              <w:spacing w:line="259" w:lineRule="auto"/>
              <w:rPr>
                <w:rFonts w:eastAsia="Calibri" w:cs="Arial"/>
                <w:szCs w:val="24"/>
              </w:rPr>
            </w:pPr>
            <w:r w:rsidRPr="004F55B7">
              <w:rPr>
                <w:rFonts w:eastAsia="Calibri" w:cs="Arial"/>
                <w:szCs w:val="24"/>
              </w:rPr>
              <w:t>A</w:t>
            </w:r>
            <w:r w:rsidR="0065554E">
              <w:rPr>
                <w:rFonts w:eastAsia="Calibri" w:cs="Arial"/>
                <w:szCs w:val="24"/>
              </w:rPr>
              <w:t>ppendix</w:t>
            </w:r>
            <w:r w:rsidRPr="004F55B7">
              <w:rPr>
                <w:rFonts w:eastAsia="Calibri" w:cs="Arial"/>
                <w:szCs w:val="24"/>
              </w:rPr>
              <w:t xml:space="preserve"> B – </w:t>
            </w:r>
            <w:r w:rsidR="00913608" w:rsidRPr="004F55B7">
              <w:rPr>
                <w:rFonts w:eastAsia="Calibri" w:cs="Arial"/>
                <w:szCs w:val="24"/>
              </w:rPr>
              <w:t>Previous Years NCIL &amp; BCIL Actual Spend</w:t>
            </w:r>
          </w:p>
          <w:p w14:paraId="2A825962" w14:textId="4E486D9A" w:rsidR="00DB47FF" w:rsidRPr="004F55B7" w:rsidRDefault="00C86B0D" w:rsidP="00B85A69">
            <w:pPr>
              <w:spacing w:line="259" w:lineRule="auto"/>
              <w:rPr>
                <w:rFonts w:eastAsia="Calibri" w:cs="Arial"/>
                <w:szCs w:val="24"/>
              </w:rPr>
            </w:pPr>
            <w:r w:rsidRPr="004F55B7">
              <w:rPr>
                <w:rFonts w:eastAsia="Calibri" w:cs="Arial"/>
                <w:szCs w:val="24"/>
              </w:rPr>
              <w:t>A</w:t>
            </w:r>
            <w:r w:rsidR="0065554E">
              <w:rPr>
                <w:rFonts w:eastAsia="Calibri" w:cs="Arial"/>
                <w:szCs w:val="24"/>
              </w:rPr>
              <w:t>ppendix</w:t>
            </w:r>
            <w:r w:rsidRPr="004F55B7">
              <w:rPr>
                <w:rFonts w:eastAsia="Calibri" w:cs="Arial"/>
                <w:szCs w:val="24"/>
              </w:rPr>
              <w:t xml:space="preserve"> C – </w:t>
            </w:r>
            <w:r w:rsidR="00913608" w:rsidRPr="004F55B7">
              <w:rPr>
                <w:rFonts w:eastAsia="Calibri" w:cs="Arial"/>
                <w:szCs w:val="24"/>
              </w:rPr>
              <w:t xml:space="preserve">Committed BCIL Allocations for </w:t>
            </w:r>
            <w:r w:rsidRPr="004F55B7">
              <w:rPr>
                <w:rFonts w:eastAsia="Calibri" w:cs="Arial"/>
                <w:szCs w:val="24"/>
              </w:rPr>
              <w:t>FY23/24 (excluding any carry forwards from previous financial years)</w:t>
            </w:r>
          </w:p>
          <w:p w14:paraId="05A8DEFB" w14:textId="10991FFC" w:rsidR="008D0B76" w:rsidRPr="004F55B7" w:rsidRDefault="005365FF" w:rsidP="00B85A69">
            <w:pPr>
              <w:spacing w:line="259" w:lineRule="auto"/>
              <w:rPr>
                <w:rFonts w:cs="Arial"/>
                <w:szCs w:val="24"/>
              </w:rPr>
            </w:pPr>
            <w:r w:rsidRPr="004F55B7">
              <w:rPr>
                <w:rFonts w:eastAsia="Calibri" w:cs="Arial"/>
                <w:szCs w:val="24"/>
              </w:rPr>
              <w:t>A</w:t>
            </w:r>
            <w:r w:rsidR="0065554E">
              <w:rPr>
                <w:rFonts w:eastAsia="Calibri" w:cs="Arial"/>
                <w:szCs w:val="24"/>
              </w:rPr>
              <w:t>ppendix</w:t>
            </w:r>
            <w:r w:rsidRPr="004F55B7">
              <w:rPr>
                <w:rFonts w:eastAsia="Calibri" w:cs="Arial"/>
                <w:szCs w:val="24"/>
              </w:rPr>
              <w:t xml:space="preserve"> D - </w:t>
            </w:r>
            <w:r w:rsidR="00913608" w:rsidRPr="004F55B7">
              <w:rPr>
                <w:rFonts w:eastAsia="Calibri" w:cs="Arial"/>
                <w:szCs w:val="24"/>
              </w:rPr>
              <w:t>Example of Best Practice:</w:t>
            </w:r>
            <w:r w:rsidR="00DB47FF" w:rsidRPr="004F55B7">
              <w:rPr>
                <w:rFonts w:eastAsia="Calibri" w:cs="Arial"/>
                <w:szCs w:val="24"/>
              </w:rPr>
              <w:t xml:space="preserve"> </w:t>
            </w:r>
            <w:r w:rsidR="00913608" w:rsidRPr="004F55B7">
              <w:rPr>
                <w:rFonts w:eastAsia="Calibri" w:cs="Arial"/>
                <w:szCs w:val="24"/>
              </w:rPr>
              <w:t>Lewisham London Borough</w:t>
            </w:r>
          </w:p>
        </w:tc>
      </w:tr>
    </w:tbl>
    <w:p w14:paraId="346D5BB2" w14:textId="77777777" w:rsidR="005441BD" w:rsidRDefault="005441BD" w:rsidP="00DD33D7">
      <w:pPr>
        <w:spacing w:after="24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5200DF" w14:paraId="20A4F076" w14:textId="77777777">
        <w:tc>
          <w:tcPr>
            <w:tcW w:w="8525" w:type="dxa"/>
            <w:tcBorders>
              <w:top w:val="nil"/>
              <w:left w:val="nil"/>
              <w:right w:val="nil"/>
            </w:tcBorders>
          </w:tcPr>
          <w:p w14:paraId="62639055" w14:textId="77777777" w:rsidR="005200DF" w:rsidRDefault="005200DF" w:rsidP="00B602B7">
            <w:pPr>
              <w:pStyle w:val="Heading2"/>
              <w:spacing w:after="240"/>
              <w:jc w:val="both"/>
            </w:pPr>
            <w:r>
              <w:t>Section 1 – Summary and Recommendations</w:t>
            </w:r>
          </w:p>
        </w:tc>
      </w:tr>
      <w:tr w:rsidR="005441BD" w14:paraId="07FFE2EC" w14:textId="77777777">
        <w:tc>
          <w:tcPr>
            <w:tcW w:w="8525" w:type="dxa"/>
          </w:tcPr>
          <w:p w14:paraId="72A9A1B3" w14:textId="77777777" w:rsidR="005441BD" w:rsidRPr="004F55B7" w:rsidRDefault="005441BD" w:rsidP="00B602B7">
            <w:pPr>
              <w:jc w:val="both"/>
              <w:rPr>
                <w:szCs w:val="24"/>
              </w:rPr>
            </w:pPr>
          </w:p>
          <w:p w14:paraId="70AD5120" w14:textId="6924865D" w:rsidR="00BC1CC7" w:rsidRPr="004F55B7" w:rsidRDefault="00BC1CC7" w:rsidP="00B602B7">
            <w:pPr>
              <w:jc w:val="both"/>
              <w:rPr>
                <w:szCs w:val="24"/>
              </w:rPr>
            </w:pPr>
            <w:r w:rsidRPr="004F55B7">
              <w:rPr>
                <w:szCs w:val="24"/>
              </w:rPr>
              <w:t xml:space="preserve">This report sets out </w:t>
            </w:r>
            <w:r w:rsidR="008A4604" w:rsidRPr="004F55B7">
              <w:rPr>
                <w:szCs w:val="24"/>
              </w:rPr>
              <w:t>the context</w:t>
            </w:r>
            <w:r w:rsidR="00E7656A" w:rsidRPr="004F55B7">
              <w:rPr>
                <w:szCs w:val="24"/>
              </w:rPr>
              <w:t>,</w:t>
            </w:r>
            <w:r w:rsidR="008A4604" w:rsidRPr="004F55B7">
              <w:rPr>
                <w:szCs w:val="24"/>
              </w:rPr>
              <w:t xml:space="preserve"> tasks </w:t>
            </w:r>
            <w:r w:rsidR="00E7656A" w:rsidRPr="004F55B7">
              <w:rPr>
                <w:szCs w:val="24"/>
              </w:rPr>
              <w:t xml:space="preserve">and options </w:t>
            </w:r>
            <w:r w:rsidR="008A4604" w:rsidRPr="004F55B7">
              <w:rPr>
                <w:szCs w:val="24"/>
              </w:rPr>
              <w:t xml:space="preserve">associated with a </w:t>
            </w:r>
            <w:r w:rsidR="008C2FC9" w:rsidRPr="004F55B7">
              <w:rPr>
                <w:szCs w:val="24"/>
              </w:rPr>
              <w:t xml:space="preserve">proposed </w:t>
            </w:r>
            <w:r w:rsidR="008A4604" w:rsidRPr="004F55B7">
              <w:rPr>
                <w:szCs w:val="24"/>
              </w:rPr>
              <w:t>review of C</w:t>
            </w:r>
            <w:r w:rsidR="006230C3" w:rsidRPr="004F55B7">
              <w:rPr>
                <w:szCs w:val="24"/>
              </w:rPr>
              <w:t xml:space="preserve">ommunity Infrastructure </w:t>
            </w:r>
            <w:r w:rsidR="008A4604" w:rsidRPr="004F55B7">
              <w:rPr>
                <w:szCs w:val="24"/>
              </w:rPr>
              <w:t>L</w:t>
            </w:r>
            <w:r w:rsidR="006230C3" w:rsidRPr="004F55B7">
              <w:rPr>
                <w:szCs w:val="24"/>
              </w:rPr>
              <w:t>evy (CIL)</w:t>
            </w:r>
            <w:r w:rsidR="008A4604" w:rsidRPr="004F55B7">
              <w:rPr>
                <w:szCs w:val="24"/>
              </w:rPr>
              <w:t xml:space="preserve"> processes in the borough</w:t>
            </w:r>
            <w:r w:rsidR="00E7656A" w:rsidRPr="004F55B7">
              <w:rPr>
                <w:szCs w:val="24"/>
              </w:rPr>
              <w:t xml:space="preserve">. </w:t>
            </w:r>
            <w:r w:rsidR="00B40310" w:rsidRPr="004F55B7">
              <w:rPr>
                <w:szCs w:val="24"/>
              </w:rPr>
              <w:t xml:space="preserve">It provides the Panel with an opportunity to </w:t>
            </w:r>
            <w:r w:rsidR="007B0108" w:rsidRPr="004F55B7">
              <w:rPr>
                <w:szCs w:val="24"/>
              </w:rPr>
              <w:t>make comment on the proposed review to inform its scope and approach, consistent with the Panel’s Terms of Reference.</w:t>
            </w:r>
          </w:p>
          <w:p w14:paraId="7078F0D4" w14:textId="77777777" w:rsidR="00BC1CC7" w:rsidRPr="004F55B7" w:rsidRDefault="00BC1CC7" w:rsidP="00B602B7">
            <w:pPr>
              <w:jc w:val="both"/>
              <w:rPr>
                <w:szCs w:val="24"/>
              </w:rPr>
            </w:pPr>
          </w:p>
          <w:p w14:paraId="6ABBF0F2" w14:textId="77777777" w:rsidR="005441BD" w:rsidRPr="004F55B7" w:rsidRDefault="005441BD" w:rsidP="00B602B7">
            <w:pPr>
              <w:pStyle w:val="Heading3"/>
              <w:keepNext/>
              <w:rPr>
                <w:i/>
                <w:sz w:val="24"/>
                <w:szCs w:val="24"/>
              </w:rPr>
            </w:pPr>
            <w:r w:rsidRPr="004F55B7">
              <w:rPr>
                <w:sz w:val="24"/>
                <w:szCs w:val="24"/>
              </w:rPr>
              <w:t>Recommendations:</w:t>
            </w:r>
            <w:r w:rsidRPr="004F55B7">
              <w:rPr>
                <w:i/>
                <w:sz w:val="24"/>
                <w:szCs w:val="24"/>
              </w:rPr>
              <w:t xml:space="preserve"> </w:t>
            </w:r>
          </w:p>
          <w:p w14:paraId="18E876B4" w14:textId="1C2E3181" w:rsidR="00C57E18" w:rsidRPr="004F55B7" w:rsidRDefault="00C57E18" w:rsidP="00B602B7">
            <w:pPr>
              <w:keepNext/>
              <w:jc w:val="both"/>
              <w:rPr>
                <w:szCs w:val="24"/>
              </w:rPr>
            </w:pPr>
            <w:r w:rsidRPr="004F55B7">
              <w:rPr>
                <w:szCs w:val="24"/>
              </w:rPr>
              <w:t xml:space="preserve">The Planning Policy Advisory Panel </w:t>
            </w:r>
            <w:r w:rsidR="005441BD" w:rsidRPr="004F55B7">
              <w:rPr>
                <w:szCs w:val="24"/>
              </w:rPr>
              <w:t>is requested to:</w:t>
            </w:r>
            <w:r w:rsidR="0064138B" w:rsidRPr="004F55B7">
              <w:rPr>
                <w:szCs w:val="24"/>
              </w:rPr>
              <w:t xml:space="preserve"> </w:t>
            </w:r>
          </w:p>
          <w:p w14:paraId="47175E89" w14:textId="37D34A36" w:rsidR="005441BD" w:rsidRPr="004F55B7" w:rsidRDefault="0064138B" w:rsidP="00B602B7">
            <w:pPr>
              <w:pStyle w:val="ListParagraph"/>
              <w:keepNext/>
              <w:numPr>
                <w:ilvl w:val="0"/>
                <w:numId w:val="8"/>
              </w:numPr>
              <w:jc w:val="both"/>
              <w:rPr>
                <w:sz w:val="24"/>
                <w:szCs w:val="24"/>
              </w:rPr>
            </w:pPr>
            <w:r w:rsidRPr="004F55B7">
              <w:rPr>
                <w:sz w:val="24"/>
                <w:szCs w:val="24"/>
              </w:rPr>
              <w:t xml:space="preserve">Note the </w:t>
            </w:r>
            <w:r w:rsidR="00C57E18" w:rsidRPr="004F55B7">
              <w:rPr>
                <w:sz w:val="24"/>
                <w:szCs w:val="24"/>
              </w:rPr>
              <w:t xml:space="preserve">report and </w:t>
            </w:r>
            <w:r w:rsidR="00AF5923">
              <w:rPr>
                <w:sz w:val="24"/>
                <w:szCs w:val="24"/>
              </w:rPr>
              <w:t xml:space="preserve">the </w:t>
            </w:r>
            <w:r w:rsidR="00C57E18" w:rsidRPr="004F55B7">
              <w:rPr>
                <w:sz w:val="24"/>
                <w:szCs w:val="24"/>
              </w:rPr>
              <w:t xml:space="preserve">proposed </w:t>
            </w:r>
            <w:r w:rsidRPr="004F55B7">
              <w:rPr>
                <w:sz w:val="24"/>
                <w:szCs w:val="24"/>
              </w:rPr>
              <w:t>review of CIL processes</w:t>
            </w:r>
            <w:r w:rsidR="004C7617" w:rsidRPr="004F55B7">
              <w:rPr>
                <w:sz w:val="24"/>
                <w:szCs w:val="24"/>
              </w:rPr>
              <w:t xml:space="preserve"> </w:t>
            </w:r>
          </w:p>
          <w:p w14:paraId="6F67C69C" w14:textId="6B853560" w:rsidR="00C57E18" w:rsidRPr="004F55B7" w:rsidRDefault="00C57E18" w:rsidP="00B602B7">
            <w:pPr>
              <w:pStyle w:val="ListParagraph"/>
              <w:numPr>
                <w:ilvl w:val="0"/>
                <w:numId w:val="8"/>
              </w:numPr>
              <w:jc w:val="both"/>
              <w:rPr>
                <w:sz w:val="24"/>
                <w:szCs w:val="24"/>
              </w:rPr>
            </w:pPr>
            <w:r w:rsidRPr="004F55B7">
              <w:rPr>
                <w:sz w:val="24"/>
                <w:szCs w:val="24"/>
              </w:rPr>
              <w:t xml:space="preserve">Provide comment and feedback </w:t>
            </w:r>
            <w:r w:rsidR="007107DE" w:rsidRPr="004F55B7">
              <w:rPr>
                <w:sz w:val="24"/>
                <w:szCs w:val="24"/>
              </w:rPr>
              <w:t>on the report to help inform the review.</w:t>
            </w:r>
          </w:p>
          <w:p w14:paraId="57B16C19" w14:textId="77777777" w:rsidR="0064138B" w:rsidRPr="004F55B7" w:rsidRDefault="0064138B" w:rsidP="00B602B7">
            <w:pPr>
              <w:jc w:val="both"/>
              <w:rPr>
                <w:szCs w:val="24"/>
              </w:rPr>
            </w:pPr>
          </w:p>
          <w:p w14:paraId="5C56B030" w14:textId="77777777" w:rsidR="009E302F" w:rsidRPr="00A03D6A" w:rsidRDefault="001F31D6" w:rsidP="00A03D6A">
            <w:pPr>
              <w:keepNext/>
              <w:jc w:val="both"/>
              <w:rPr>
                <w:b/>
              </w:rPr>
            </w:pPr>
            <w:r w:rsidRPr="00A03D6A">
              <w:rPr>
                <w:b/>
              </w:rPr>
              <w:t xml:space="preserve">Reason:  </w:t>
            </w:r>
          </w:p>
          <w:p w14:paraId="5FDAC82D" w14:textId="77777777" w:rsidR="005441BD" w:rsidRPr="004F55B7" w:rsidRDefault="009E302F" w:rsidP="00B602B7">
            <w:pPr>
              <w:jc w:val="both"/>
            </w:pPr>
            <w:r w:rsidRPr="004F55B7">
              <w:rPr>
                <w:szCs w:val="24"/>
              </w:rPr>
              <w:t xml:space="preserve">It is considered prudent to review the CIL process </w:t>
            </w:r>
            <w:r w:rsidR="005B6C26" w:rsidRPr="004F55B7">
              <w:rPr>
                <w:szCs w:val="24"/>
              </w:rPr>
              <w:t>as it has been in place for almost five years</w:t>
            </w:r>
            <w:r w:rsidR="00B70AD4" w:rsidRPr="004F55B7">
              <w:rPr>
                <w:szCs w:val="24"/>
              </w:rPr>
              <w:t>.</w:t>
            </w:r>
            <w:r w:rsidR="00B70AD4">
              <w:t xml:space="preserve"> </w:t>
            </w:r>
          </w:p>
          <w:p w14:paraId="7339B5C9" w14:textId="1A8E4ADD" w:rsidR="005441BD" w:rsidRDefault="005441BD" w:rsidP="00B602B7">
            <w:pPr>
              <w:jc w:val="both"/>
            </w:pPr>
          </w:p>
        </w:tc>
      </w:tr>
    </w:tbl>
    <w:p w14:paraId="7EB137CB" w14:textId="77777777" w:rsidR="005C1159" w:rsidRDefault="005C1159" w:rsidP="00B602B7">
      <w:pPr>
        <w:pStyle w:val="Heading1"/>
        <w:jc w:val="both"/>
        <w:rPr>
          <w:color w:val="0000FF"/>
          <w:sz w:val="28"/>
        </w:rPr>
        <w:sectPr w:rsidR="005C1159" w:rsidSect="00A03D6A">
          <w:headerReference w:type="default" r:id="rId12"/>
          <w:footerReference w:type="default" r:id="rId13"/>
          <w:footerReference w:type="first" r:id="rId14"/>
          <w:pgSz w:w="11909" w:h="16834" w:code="9"/>
          <w:pgMar w:top="1276" w:right="1800" w:bottom="1276" w:left="1800" w:header="1008" w:footer="432" w:gutter="0"/>
          <w:cols w:space="720"/>
          <w:docGrid w:linePitch="360"/>
        </w:sectPr>
      </w:pPr>
    </w:p>
    <w:p w14:paraId="4555D60E" w14:textId="7BCEAF38" w:rsidR="005441BD" w:rsidRPr="004F55B7" w:rsidRDefault="005441BD" w:rsidP="00B602B7">
      <w:pPr>
        <w:pStyle w:val="Heading2"/>
        <w:spacing w:before="480"/>
        <w:jc w:val="both"/>
      </w:pPr>
      <w:r>
        <w:t>Section 2 – Report</w:t>
      </w:r>
    </w:p>
    <w:p w14:paraId="0901A58A" w14:textId="77777777" w:rsidR="005441BD" w:rsidRPr="004F55B7" w:rsidRDefault="005441BD" w:rsidP="00B602B7">
      <w:pPr>
        <w:ind w:left="851" w:hanging="851"/>
        <w:jc w:val="both"/>
        <w:rPr>
          <w:szCs w:val="24"/>
        </w:rPr>
      </w:pPr>
    </w:p>
    <w:p w14:paraId="1F38596E" w14:textId="24EAE93D" w:rsidR="005441BD" w:rsidRPr="00540E5F" w:rsidRDefault="00CB26C1" w:rsidP="00B602B7">
      <w:pPr>
        <w:pStyle w:val="Heading3"/>
        <w:keepNext/>
        <w:ind w:left="851" w:hanging="851"/>
      </w:pPr>
      <w:r w:rsidRPr="004F55B7">
        <w:t>1.0</w:t>
      </w:r>
      <w:r w:rsidRPr="004F55B7">
        <w:tab/>
      </w:r>
      <w:r w:rsidR="00CA233D" w:rsidRPr="00540E5F">
        <w:t>Introduction</w:t>
      </w:r>
    </w:p>
    <w:p w14:paraId="647E14BD" w14:textId="77777777" w:rsidR="00CB26C1" w:rsidRPr="004F55B7" w:rsidRDefault="00CB26C1" w:rsidP="00B602B7">
      <w:pPr>
        <w:keepNext/>
        <w:ind w:left="851" w:hanging="851"/>
        <w:jc w:val="both"/>
        <w:rPr>
          <w:rFonts w:cs="Arial"/>
          <w:szCs w:val="24"/>
        </w:rPr>
      </w:pPr>
    </w:p>
    <w:p w14:paraId="748D2ED5" w14:textId="7998D813" w:rsidR="00D13D6A" w:rsidRPr="002519A3" w:rsidRDefault="00CB26C1" w:rsidP="00B602B7">
      <w:pPr>
        <w:ind w:left="851" w:hanging="851"/>
        <w:jc w:val="both"/>
        <w:rPr>
          <w:rFonts w:eastAsia="Calibri" w:cs="Arial"/>
          <w:szCs w:val="24"/>
        </w:rPr>
      </w:pPr>
      <w:r w:rsidRPr="004F55B7">
        <w:rPr>
          <w:rFonts w:cs="Arial"/>
          <w:szCs w:val="24"/>
        </w:rPr>
        <w:t>1.1</w:t>
      </w:r>
      <w:r w:rsidRPr="004F55B7">
        <w:rPr>
          <w:rFonts w:cs="Arial"/>
          <w:szCs w:val="24"/>
        </w:rPr>
        <w:tab/>
      </w:r>
      <w:r w:rsidR="00D13D6A" w:rsidRPr="002519A3">
        <w:rPr>
          <w:rFonts w:eastAsia="Calibri" w:cs="Arial"/>
          <w:szCs w:val="24"/>
        </w:rPr>
        <w:t xml:space="preserve">This report provides an overview of the current Harrow Council CIL (Community Infrastructure Levy) allocations process and </w:t>
      </w:r>
      <w:r w:rsidR="007D75D7" w:rsidRPr="002519A3">
        <w:rPr>
          <w:rFonts w:eastAsia="Calibri" w:cs="Arial"/>
          <w:szCs w:val="24"/>
        </w:rPr>
        <w:t xml:space="preserve">outlines the intention </w:t>
      </w:r>
      <w:r w:rsidR="008C2FC9" w:rsidRPr="002519A3">
        <w:rPr>
          <w:rFonts w:eastAsia="Calibri" w:cs="Arial"/>
          <w:szCs w:val="24"/>
        </w:rPr>
        <w:t>to review this, including broad matters to be consider</w:t>
      </w:r>
      <w:r w:rsidR="002A554D" w:rsidRPr="002519A3">
        <w:rPr>
          <w:rFonts w:eastAsia="Calibri" w:cs="Arial"/>
          <w:szCs w:val="24"/>
        </w:rPr>
        <w:t>ed.</w:t>
      </w:r>
      <w:r w:rsidR="00D13D6A" w:rsidRPr="002519A3">
        <w:rPr>
          <w:rFonts w:eastAsia="Calibri" w:cs="Arial"/>
          <w:szCs w:val="24"/>
        </w:rPr>
        <w:t xml:space="preserve"> </w:t>
      </w:r>
      <w:r w:rsidR="002A554D" w:rsidRPr="002519A3">
        <w:rPr>
          <w:rFonts w:eastAsia="Calibri" w:cs="Arial"/>
          <w:szCs w:val="24"/>
        </w:rPr>
        <w:t>The report</w:t>
      </w:r>
      <w:r w:rsidR="00D13D6A" w:rsidRPr="002519A3">
        <w:rPr>
          <w:rFonts w:eastAsia="Calibri" w:cs="Arial"/>
          <w:szCs w:val="24"/>
        </w:rPr>
        <w:t xml:space="preserve"> intends to provide a template for discussion of</w:t>
      </w:r>
      <w:r w:rsidR="00C57E18" w:rsidRPr="002519A3">
        <w:rPr>
          <w:rFonts w:eastAsia="Calibri" w:cs="Arial"/>
          <w:szCs w:val="24"/>
        </w:rPr>
        <w:t xml:space="preserve"> the </w:t>
      </w:r>
      <w:r w:rsidR="00484E6C" w:rsidRPr="002519A3">
        <w:rPr>
          <w:rFonts w:eastAsia="Calibri" w:cs="Arial"/>
          <w:szCs w:val="24"/>
        </w:rPr>
        <w:t>review</w:t>
      </w:r>
      <w:r w:rsidR="00C57E18" w:rsidRPr="002519A3">
        <w:rPr>
          <w:rFonts w:eastAsia="Calibri" w:cs="Arial"/>
          <w:szCs w:val="24"/>
        </w:rPr>
        <w:t xml:space="preserve"> </w:t>
      </w:r>
      <w:r w:rsidR="00D13D6A" w:rsidRPr="002519A3">
        <w:rPr>
          <w:rFonts w:eastAsia="Calibri" w:cs="Arial"/>
          <w:szCs w:val="24"/>
        </w:rPr>
        <w:t xml:space="preserve">with </w:t>
      </w:r>
      <w:r w:rsidR="002A554D" w:rsidRPr="002519A3">
        <w:rPr>
          <w:rFonts w:eastAsia="Calibri" w:cs="Arial"/>
          <w:szCs w:val="24"/>
        </w:rPr>
        <w:t xml:space="preserve">stakeholders, including </w:t>
      </w:r>
      <w:r w:rsidR="00C57E18" w:rsidRPr="002519A3">
        <w:rPr>
          <w:rFonts w:eastAsia="Calibri" w:cs="Arial"/>
          <w:szCs w:val="24"/>
        </w:rPr>
        <w:t xml:space="preserve">the Planning </w:t>
      </w:r>
      <w:r w:rsidR="00895BE7" w:rsidRPr="002519A3">
        <w:rPr>
          <w:rFonts w:eastAsia="Calibri" w:cs="Arial"/>
          <w:szCs w:val="24"/>
        </w:rPr>
        <w:t xml:space="preserve">Policy Advisory Panel, </w:t>
      </w:r>
      <w:r w:rsidR="00D13D6A" w:rsidRPr="002519A3">
        <w:rPr>
          <w:rFonts w:eastAsia="Calibri" w:cs="Arial"/>
          <w:szCs w:val="24"/>
        </w:rPr>
        <w:t xml:space="preserve">corporate leadership and council Members. </w:t>
      </w:r>
      <w:r w:rsidR="00F646BD" w:rsidRPr="002519A3">
        <w:rPr>
          <w:rFonts w:eastAsia="Calibri" w:cs="Arial"/>
          <w:szCs w:val="24"/>
        </w:rPr>
        <w:t xml:space="preserve">This report is </w:t>
      </w:r>
      <w:r w:rsidR="000E3146" w:rsidRPr="002519A3">
        <w:rPr>
          <w:rFonts w:eastAsia="Calibri" w:cs="Arial"/>
          <w:szCs w:val="24"/>
        </w:rPr>
        <w:t xml:space="preserve">to notify </w:t>
      </w:r>
      <w:r w:rsidR="00785B8B" w:rsidRPr="002519A3">
        <w:rPr>
          <w:rFonts w:eastAsia="Calibri" w:cs="Arial"/>
          <w:szCs w:val="24"/>
        </w:rPr>
        <w:t>Planning Policy Advisory Panel of the review</w:t>
      </w:r>
      <w:r w:rsidR="000E3146" w:rsidRPr="002519A3">
        <w:rPr>
          <w:rFonts w:eastAsia="Calibri" w:cs="Arial"/>
          <w:szCs w:val="24"/>
        </w:rPr>
        <w:t xml:space="preserve">. </w:t>
      </w:r>
      <w:r w:rsidR="00A8720B" w:rsidRPr="002519A3">
        <w:rPr>
          <w:rFonts w:eastAsia="Calibri" w:cs="Arial"/>
          <w:szCs w:val="24"/>
        </w:rPr>
        <w:t xml:space="preserve">Under the Panel’s Terms of Reference, </w:t>
      </w:r>
      <w:r w:rsidR="009004D0" w:rsidRPr="002519A3">
        <w:rPr>
          <w:rFonts w:eastAsia="Calibri" w:cs="Arial"/>
          <w:szCs w:val="24"/>
        </w:rPr>
        <w:t>the Panel is to (3) give detailed consideration to and make recommendations to Cabinet in respect of … (a) The use of the Community Infrastructure Levies (CIL) funds.</w:t>
      </w:r>
    </w:p>
    <w:p w14:paraId="40C1DEBB" w14:textId="77777777" w:rsidR="00CB26C1" w:rsidRPr="004F55B7" w:rsidRDefault="00CB26C1" w:rsidP="00B602B7">
      <w:pPr>
        <w:pStyle w:val="Heading3"/>
        <w:ind w:left="851" w:hanging="851"/>
        <w:rPr>
          <w:sz w:val="24"/>
          <w:szCs w:val="24"/>
        </w:rPr>
      </w:pPr>
    </w:p>
    <w:p w14:paraId="4F763968" w14:textId="0FBE7F7E" w:rsidR="005441BD" w:rsidRPr="00540E5F" w:rsidRDefault="00FF7921" w:rsidP="00B602B7">
      <w:pPr>
        <w:pStyle w:val="Heading3"/>
        <w:keepNext/>
        <w:ind w:left="851" w:hanging="851"/>
      </w:pPr>
      <w:r w:rsidRPr="004F55B7">
        <w:t>2.0</w:t>
      </w:r>
      <w:r w:rsidRPr="004F55B7">
        <w:tab/>
      </w:r>
      <w:r w:rsidR="005441BD" w:rsidRPr="00540E5F">
        <w:t xml:space="preserve">Options </w:t>
      </w:r>
      <w:r w:rsidR="00120211" w:rsidRPr="00540E5F">
        <w:t>C</w:t>
      </w:r>
      <w:r w:rsidR="005441BD" w:rsidRPr="00540E5F">
        <w:t>onsidered</w:t>
      </w:r>
    </w:p>
    <w:p w14:paraId="68A34867" w14:textId="77777777" w:rsidR="00FF7921" w:rsidRPr="004F55B7" w:rsidRDefault="00FF7921" w:rsidP="00B602B7">
      <w:pPr>
        <w:keepNext/>
        <w:ind w:left="851" w:hanging="851"/>
        <w:jc w:val="both"/>
        <w:rPr>
          <w:rFonts w:cs="Arial"/>
          <w:szCs w:val="24"/>
        </w:rPr>
      </w:pPr>
    </w:p>
    <w:p w14:paraId="2A2252BD" w14:textId="3192D287" w:rsidR="00BC043A" w:rsidRPr="00BA1943" w:rsidRDefault="00AE6551" w:rsidP="00B602B7">
      <w:pPr>
        <w:keepNext/>
        <w:ind w:left="1702" w:hanging="851"/>
        <w:jc w:val="both"/>
        <w:rPr>
          <w:rFonts w:cs="Arial"/>
          <w:i/>
          <w:szCs w:val="24"/>
        </w:rPr>
      </w:pPr>
      <w:r w:rsidRPr="00BA1943">
        <w:rPr>
          <w:rFonts w:cs="Arial"/>
          <w:i/>
          <w:szCs w:val="24"/>
        </w:rPr>
        <w:t xml:space="preserve">Option 1: </w:t>
      </w:r>
      <w:r w:rsidR="00BC043A" w:rsidRPr="00BA1943">
        <w:rPr>
          <w:rFonts w:cs="Arial"/>
          <w:i/>
          <w:szCs w:val="24"/>
        </w:rPr>
        <w:t>Business as Usual Approach</w:t>
      </w:r>
      <w:r w:rsidR="00F67205" w:rsidRPr="00BA1943">
        <w:rPr>
          <w:rFonts w:cs="Arial"/>
          <w:i/>
          <w:szCs w:val="24"/>
        </w:rPr>
        <w:t xml:space="preserve"> – No Change </w:t>
      </w:r>
    </w:p>
    <w:p w14:paraId="1540CF20" w14:textId="77777777" w:rsidR="00FF7921" w:rsidRPr="004F55B7" w:rsidRDefault="00FF7921" w:rsidP="00B602B7">
      <w:pPr>
        <w:keepNext/>
        <w:ind w:left="851" w:hanging="851"/>
        <w:jc w:val="both"/>
        <w:rPr>
          <w:rFonts w:cs="Arial"/>
          <w:szCs w:val="24"/>
        </w:rPr>
      </w:pPr>
    </w:p>
    <w:p w14:paraId="11CF0F49" w14:textId="269FC09C" w:rsidR="00F76069" w:rsidRPr="004F55B7" w:rsidRDefault="00FF7921" w:rsidP="00B602B7">
      <w:pPr>
        <w:ind w:left="851" w:hanging="851"/>
        <w:jc w:val="both"/>
        <w:rPr>
          <w:rFonts w:cs="Arial"/>
          <w:szCs w:val="24"/>
        </w:rPr>
      </w:pPr>
      <w:r w:rsidRPr="004F55B7">
        <w:rPr>
          <w:rFonts w:cs="Arial"/>
          <w:szCs w:val="24"/>
        </w:rPr>
        <w:t>2.1</w:t>
      </w:r>
      <w:r w:rsidRPr="004F55B7">
        <w:rPr>
          <w:rFonts w:cs="Arial"/>
          <w:szCs w:val="24"/>
        </w:rPr>
        <w:tab/>
      </w:r>
      <w:r w:rsidR="006D30F7" w:rsidRPr="00BA1943">
        <w:rPr>
          <w:rFonts w:cs="Arial"/>
          <w:szCs w:val="24"/>
        </w:rPr>
        <w:t xml:space="preserve">The first option involves </w:t>
      </w:r>
      <w:r w:rsidR="00446B16" w:rsidRPr="00BA1943">
        <w:rPr>
          <w:rFonts w:cs="Arial"/>
          <w:szCs w:val="24"/>
        </w:rPr>
        <w:t xml:space="preserve">retaining the current CIL allocation processes. </w:t>
      </w:r>
      <w:r w:rsidR="00F94D39" w:rsidRPr="00BA1943">
        <w:rPr>
          <w:rFonts w:cs="Arial"/>
          <w:szCs w:val="24"/>
        </w:rPr>
        <w:t xml:space="preserve">The </w:t>
      </w:r>
      <w:r w:rsidR="00115398" w:rsidRPr="00BA1943">
        <w:rPr>
          <w:rFonts w:cs="Arial"/>
          <w:szCs w:val="24"/>
        </w:rPr>
        <w:t xml:space="preserve">ward boundaries will need to be adapted to the new wards regardless, so this aspect of the review will need to be undertaken. </w:t>
      </w:r>
      <w:r w:rsidR="00F56866" w:rsidRPr="00BA1943">
        <w:rPr>
          <w:rFonts w:cs="Arial"/>
          <w:szCs w:val="24"/>
        </w:rPr>
        <w:t>There would be no change made to the current</w:t>
      </w:r>
      <w:r w:rsidR="00E14624" w:rsidRPr="00BA1943">
        <w:rPr>
          <w:rFonts w:cs="Arial"/>
          <w:szCs w:val="24"/>
        </w:rPr>
        <w:t xml:space="preserve"> way that </w:t>
      </w:r>
      <w:r w:rsidR="00C51F8E">
        <w:rPr>
          <w:rFonts w:cs="Arial"/>
          <w:szCs w:val="24"/>
        </w:rPr>
        <w:t xml:space="preserve">Neighbourhood </w:t>
      </w:r>
      <w:r w:rsidR="00F74EB8">
        <w:rPr>
          <w:rFonts w:cs="Arial"/>
          <w:szCs w:val="24"/>
        </w:rPr>
        <w:t xml:space="preserve">CIL </w:t>
      </w:r>
      <w:r w:rsidR="00C51F8E">
        <w:rPr>
          <w:rFonts w:cs="Arial"/>
          <w:szCs w:val="24"/>
        </w:rPr>
        <w:t>(</w:t>
      </w:r>
      <w:r w:rsidR="00E14624" w:rsidRPr="00BA1943">
        <w:rPr>
          <w:rFonts w:cs="Arial"/>
          <w:szCs w:val="24"/>
        </w:rPr>
        <w:t>NCIL</w:t>
      </w:r>
      <w:r w:rsidR="00C51F8E">
        <w:rPr>
          <w:rFonts w:cs="Arial"/>
          <w:szCs w:val="24"/>
        </w:rPr>
        <w:t>)</w:t>
      </w:r>
      <w:r w:rsidR="00E14624" w:rsidRPr="00BA1943">
        <w:rPr>
          <w:rFonts w:cs="Arial"/>
          <w:szCs w:val="24"/>
        </w:rPr>
        <w:t xml:space="preserve"> allocations </w:t>
      </w:r>
      <w:r w:rsidR="00320298" w:rsidRPr="00BA1943">
        <w:rPr>
          <w:rFonts w:cs="Arial"/>
          <w:szCs w:val="24"/>
        </w:rPr>
        <w:t xml:space="preserve">are consulted on. </w:t>
      </w:r>
      <w:r w:rsidR="00650DAC" w:rsidRPr="00BA1943">
        <w:rPr>
          <w:rFonts w:cs="Arial"/>
          <w:szCs w:val="24"/>
        </w:rPr>
        <w:t xml:space="preserve">Currently ward </w:t>
      </w:r>
      <w:r w:rsidR="0076359F" w:rsidRPr="00BA1943">
        <w:rPr>
          <w:rFonts w:cs="Arial"/>
          <w:szCs w:val="24"/>
        </w:rPr>
        <w:t xml:space="preserve">councillors nominate projects for NCIL allocations </w:t>
      </w:r>
      <w:r w:rsidR="00512DBC" w:rsidRPr="00BA1943">
        <w:rPr>
          <w:rFonts w:cs="Arial"/>
          <w:szCs w:val="24"/>
        </w:rPr>
        <w:t>(</w:t>
      </w:r>
      <w:r w:rsidR="004260BE" w:rsidRPr="00BA1943">
        <w:rPr>
          <w:rFonts w:cs="Arial"/>
          <w:szCs w:val="24"/>
        </w:rPr>
        <w:t>having had regard to the priorities of residents although this may not always be the case as there is no formal mechanism to do this</w:t>
      </w:r>
      <w:r w:rsidR="00EE41E3" w:rsidRPr="00BA1943">
        <w:rPr>
          <w:rFonts w:cs="Arial"/>
          <w:szCs w:val="24"/>
        </w:rPr>
        <w:t xml:space="preserve">). </w:t>
      </w:r>
    </w:p>
    <w:p w14:paraId="1CA58C3C" w14:textId="77777777" w:rsidR="00FF7921" w:rsidRPr="004F55B7" w:rsidRDefault="00FF7921" w:rsidP="00B602B7">
      <w:pPr>
        <w:ind w:left="851" w:hanging="851"/>
        <w:jc w:val="both"/>
        <w:rPr>
          <w:rFonts w:cs="Arial"/>
          <w:szCs w:val="24"/>
        </w:rPr>
      </w:pPr>
    </w:p>
    <w:p w14:paraId="01ECB39F" w14:textId="2BD16F3F" w:rsidR="004C4DC2" w:rsidRPr="00BA1943" w:rsidRDefault="00F76069" w:rsidP="00B602B7">
      <w:pPr>
        <w:keepNext/>
        <w:ind w:left="1702" w:hanging="851"/>
        <w:jc w:val="both"/>
        <w:rPr>
          <w:rFonts w:cs="Arial"/>
          <w:i/>
          <w:szCs w:val="24"/>
        </w:rPr>
      </w:pPr>
      <w:r w:rsidRPr="00BA1943">
        <w:rPr>
          <w:rFonts w:cs="Arial"/>
          <w:i/>
          <w:szCs w:val="24"/>
        </w:rPr>
        <w:t xml:space="preserve">Option 2: </w:t>
      </w:r>
      <w:r w:rsidR="004C4DC2" w:rsidRPr="00BA1943">
        <w:rPr>
          <w:rFonts w:cs="Arial"/>
          <w:i/>
          <w:szCs w:val="24"/>
        </w:rPr>
        <w:t>Undertake the CIL Review</w:t>
      </w:r>
      <w:r w:rsidR="00EE41E3" w:rsidRPr="00BA1943">
        <w:rPr>
          <w:rFonts w:cs="Arial"/>
          <w:i/>
          <w:szCs w:val="24"/>
        </w:rPr>
        <w:t xml:space="preserve"> (as outlined in this report)</w:t>
      </w:r>
      <w:r w:rsidR="002C1A3E" w:rsidRPr="00BA1943">
        <w:rPr>
          <w:rFonts w:cs="Arial"/>
          <w:i/>
          <w:szCs w:val="24"/>
        </w:rPr>
        <w:t xml:space="preserve">. </w:t>
      </w:r>
    </w:p>
    <w:p w14:paraId="53DC2071" w14:textId="77777777" w:rsidR="00FF7921" w:rsidRPr="004F55B7" w:rsidRDefault="00FF7921" w:rsidP="00B602B7">
      <w:pPr>
        <w:keepNext/>
        <w:ind w:left="851" w:hanging="851"/>
        <w:jc w:val="both"/>
        <w:rPr>
          <w:rFonts w:cs="Arial"/>
          <w:szCs w:val="24"/>
        </w:rPr>
      </w:pPr>
    </w:p>
    <w:p w14:paraId="49706665" w14:textId="3D57762C" w:rsidR="002C1A3E" w:rsidRPr="00BA1943" w:rsidRDefault="00FF7921" w:rsidP="00B602B7">
      <w:pPr>
        <w:ind w:left="851" w:hanging="851"/>
        <w:jc w:val="both"/>
        <w:rPr>
          <w:rFonts w:cs="Arial"/>
          <w:szCs w:val="24"/>
        </w:rPr>
      </w:pPr>
      <w:r w:rsidRPr="004F55B7">
        <w:rPr>
          <w:rFonts w:cs="Arial"/>
          <w:szCs w:val="24"/>
        </w:rPr>
        <w:t>2.2</w:t>
      </w:r>
      <w:r w:rsidRPr="004F55B7">
        <w:rPr>
          <w:rFonts w:cs="Arial"/>
          <w:szCs w:val="24"/>
        </w:rPr>
        <w:tab/>
      </w:r>
      <w:r w:rsidR="006A055D" w:rsidRPr="00BA1943">
        <w:rPr>
          <w:rFonts w:cs="Arial"/>
          <w:szCs w:val="24"/>
        </w:rPr>
        <w:t>Undertake the full CIL and S106 process review</w:t>
      </w:r>
      <w:r w:rsidR="00F6351A" w:rsidRPr="00BA1943">
        <w:rPr>
          <w:rFonts w:cs="Arial"/>
          <w:szCs w:val="24"/>
        </w:rPr>
        <w:t xml:space="preserve">, including </w:t>
      </w:r>
      <w:r w:rsidR="0071525F" w:rsidRPr="00BA1943">
        <w:rPr>
          <w:rFonts w:cs="Arial"/>
          <w:szCs w:val="24"/>
        </w:rPr>
        <w:t>a review of all CIL and s106 balances and commitments</w:t>
      </w:r>
      <w:r w:rsidR="008D5361" w:rsidRPr="00BA1943">
        <w:rPr>
          <w:rFonts w:cs="Arial"/>
          <w:szCs w:val="24"/>
        </w:rPr>
        <w:t>, reallocation of CIL ward boundaries</w:t>
      </w:r>
      <w:r w:rsidR="00931B9F" w:rsidRPr="00BA1943">
        <w:rPr>
          <w:rFonts w:cs="Arial"/>
          <w:szCs w:val="24"/>
        </w:rPr>
        <w:t xml:space="preserve">, </w:t>
      </w:r>
      <w:r w:rsidR="00AE1385" w:rsidRPr="00BA1943">
        <w:rPr>
          <w:rFonts w:cs="Arial"/>
          <w:szCs w:val="24"/>
        </w:rPr>
        <w:t xml:space="preserve">drafting of new CIL allocation </w:t>
      </w:r>
      <w:r w:rsidR="0094772F" w:rsidRPr="00BA1943">
        <w:rPr>
          <w:rFonts w:cs="Arial"/>
          <w:szCs w:val="24"/>
        </w:rPr>
        <w:t xml:space="preserve">processes </w:t>
      </w:r>
      <w:r w:rsidR="00AE1385" w:rsidRPr="00BA1943">
        <w:rPr>
          <w:rFonts w:cs="Arial"/>
          <w:szCs w:val="24"/>
        </w:rPr>
        <w:t xml:space="preserve">and NCIL </w:t>
      </w:r>
      <w:r w:rsidR="0094772F" w:rsidRPr="00BA1943">
        <w:rPr>
          <w:rFonts w:cs="Arial"/>
          <w:szCs w:val="24"/>
        </w:rPr>
        <w:t xml:space="preserve">community consultation methods. </w:t>
      </w:r>
    </w:p>
    <w:p w14:paraId="633912A2" w14:textId="77777777" w:rsidR="00C4117C" w:rsidRPr="004F55B7" w:rsidRDefault="00C4117C" w:rsidP="00B602B7">
      <w:pPr>
        <w:ind w:left="851" w:hanging="851"/>
        <w:jc w:val="both"/>
        <w:rPr>
          <w:rFonts w:cs="Arial"/>
          <w:szCs w:val="24"/>
        </w:rPr>
      </w:pPr>
    </w:p>
    <w:p w14:paraId="1F8CC7EA" w14:textId="5677AA64" w:rsidR="00410C2B" w:rsidRPr="00F06E4E" w:rsidRDefault="00B602B7" w:rsidP="00B602B7">
      <w:pPr>
        <w:pStyle w:val="Heading3"/>
        <w:keepNext/>
        <w:ind w:left="851" w:hanging="851"/>
      </w:pPr>
      <w:r w:rsidRPr="004F55B7">
        <w:t>3.0</w:t>
      </w:r>
      <w:r w:rsidRPr="004F55B7">
        <w:tab/>
        <w:t>Background</w:t>
      </w:r>
    </w:p>
    <w:p w14:paraId="5066DC8E" w14:textId="6FACC989" w:rsidR="00B602B7" w:rsidRPr="004F55B7" w:rsidRDefault="00B602B7" w:rsidP="00B602B7">
      <w:pPr>
        <w:keepNext/>
        <w:ind w:left="851" w:hanging="851"/>
        <w:jc w:val="both"/>
        <w:rPr>
          <w:rFonts w:cs="Arial"/>
          <w:szCs w:val="24"/>
        </w:rPr>
      </w:pPr>
    </w:p>
    <w:p w14:paraId="699353E2" w14:textId="59222725" w:rsidR="00FA1885" w:rsidRPr="002519A3" w:rsidRDefault="00B602B7" w:rsidP="00B602B7">
      <w:pPr>
        <w:ind w:left="851" w:hanging="851"/>
        <w:jc w:val="both"/>
        <w:rPr>
          <w:rFonts w:eastAsia="Calibri" w:cs="Arial"/>
          <w:szCs w:val="24"/>
        </w:rPr>
      </w:pPr>
      <w:r w:rsidRPr="004F55B7">
        <w:rPr>
          <w:rFonts w:cs="Arial"/>
          <w:szCs w:val="24"/>
        </w:rPr>
        <w:t>3.1</w:t>
      </w:r>
      <w:r w:rsidRPr="004F55B7">
        <w:rPr>
          <w:rFonts w:cs="Arial"/>
          <w:szCs w:val="24"/>
        </w:rPr>
        <w:tab/>
      </w:r>
      <w:r w:rsidR="00FA1885" w:rsidRPr="002519A3">
        <w:rPr>
          <w:rFonts w:eastAsia="Calibri" w:cs="Arial"/>
          <w:szCs w:val="24"/>
        </w:rPr>
        <w:t>The Community Infrastructure Levy (CIL) is essentially a tax on new development that is used to fund the infrastructure required to support development</w:t>
      </w:r>
      <w:r w:rsidR="00947B68" w:rsidRPr="004F55B7">
        <w:rPr>
          <w:rFonts w:cs="Arial"/>
          <w:szCs w:val="24"/>
        </w:rPr>
        <w:t xml:space="preserve"> in the borough</w:t>
      </w:r>
      <w:r w:rsidR="00FA1885" w:rsidRPr="002519A3">
        <w:rPr>
          <w:rFonts w:eastAsia="Calibri" w:cs="Arial"/>
          <w:szCs w:val="24"/>
        </w:rPr>
        <w:t xml:space="preserve">, and ensure that there is no detriment to infrastructure standards caused by intensified use of an area. It is typically collected as a payment from the site developer </w:t>
      </w:r>
      <w:r w:rsidR="008025C7" w:rsidRPr="004F55B7">
        <w:rPr>
          <w:rFonts w:cs="Arial"/>
          <w:szCs w:val="24"/>
        </w:rPr>
        <w:t xml:space="preserve">(when the </w:t>
      </w:r>
      <w:r w:rsidR="008025C7" w:rsidRPr="004F55B7">
        <w:rPr>
          <w:rFonts w:cs="Arial"/>
          <w:szCs w:val="24"/>
        </w:rPr>
        <w:lastRenderedPageBreak/>
        <w:t>development commences)</w:t>
      </w:r>
      <w:r w:rsidR="00796B41" w:rsidRPr="004F55B7">
        <w:rPr>
          <w:rFonts w:cs="Arial"/>
          <w:szCs w:val="24"/>
        </w:rPr>
        <w:t xml:space="preserve">, pooled with other CIL receipts and </w:t>
      </w:r>
      <w:r w:rsidR="00FA1885" w:rsidRPr="002519A3">
        <w:rPr>
          <w:rFonts w:eastAsia="Calibri" w:cs="Arial"/>
          <w:szCs w:val="24"/>
        </w:rPr>
        <w:t xml:space="preserve">allocated to </w:t>
      </w:r>
      <w:r w:rsidR="00091A96" w:rsidRPr="004F55B7">
        <w:rPr>
          <w:rFonts w:cs="Arial"/>
          <w:szCs w:val="24"/>
        </w:rPr>
        <w:t xml:space="preserve">infrastructure </w:t>
      </w:r>
      <w:r w:rsidR="00FA1885" w:rsidRPr="002519A3">
        <w:rPr>
          <w:rFonts w:eastAsia="Calibri" w:cs="Arial"/>
          <w:szCs w:val="24"/>
        </w:rPr>
        <w:t xml:space="preserve">projects by the </w:t>
      </w:r>
      <w:r w:rsidR="008025C7" w:rsidRPr="004F55B7">
        <w:rPr>
          <w:rFonts w:cs="Arial"/>
          <w:szCs w:val="24"/>
        </w:rPr>
        <w:t>Council</w:t>
      </w:r>
      <w:r w:rsidR="00FA1885" w:rsidRPr="004F55B7">
        <w:rPr>
          <w:rFonts w:cs="Arial"/>
          <w:szCs w:val="24"/>
        </w:rPr>
        <w:t>.</w:t>
      </w:r>
      <w:r w:rsidR="00FA1885" w:rsidRPr="002519A3">
        <w:rPr>
          <w:rFonts w:eastAsia="Calibri" w:cs="Arial"/>
          <w:szCs w:val="24"/>
        </w:rPr>
        <w:t xml:space="preserve"> The levy rates are charged in accordance with the Council’s adopted CIL Charging Schedule (Sept 2013) </w:t>
      </w:r>
      <w:r w:rsidR="00FA1885" w:rsidRPr="002519A3">
        <w:rPr>
          <w:rFonts w:cs="Arial"/>
          <w:szCs w:val="24"/>
        </w:rPr>
        <w:t xml:space="preserve">with rates required to be set at levels that don’t </w:t>
      </w:r>
      <w:r w:rsidR="00FA1885" w:rsidRPr="002519A3">
        <w:rPr>
          <w:rFonts w:eastAsia="Calibri" w:cs="Arial"/>
          <w:szCs w:val="24"/>
        </w:rPr>
        <w:t xml:space="preserve">result in development becoming unviable. </w:t>
      </w:r>
      <w:r w:rsidR="00120211" w:rsidRPr="002519A3">
        <w:rPr>
          <w:rFonts w:eastAsia="Calibri" w:cs="Arial"/>
          <w:szCs w:val="24"/>
        </w:rPr>
        <w:t xml:space="preserve">CIL charging rates </w:t>
      </w:r>
      <w:r w:rsidR="00115C0B">
        <w:rPr>
          <w:rFonts w:eastAsia="Calibri" w:cs="Arial"/>
          <w:szCs w:val="24"/>
        </w:rPr>
        <w:t>are subject to indexation</w:t>
      </w:r>
      <w:r w:rsidR="00120211" w:rsidRPr="002519A3">
        <w:rPr>
          <w:rFonts w:eastAsia="Calibri" w:cs="Arial"/>
          <w:szCs w:val="24"/>
        </w:rPr>
        <w:t xml:space="preserve"> annually in accordance with the CIL Regulations. </w:t>
      </w:r>
    </w:p>
    <w:p w14:paraId="25D2170B" w14:textId="77777777" w:rsidR="00B602B7" w:rsidRPr="004F55B7" w:rsidRDefault="00B602B7" w:rsidP="00B602B7">
      <w:pPr>
        <w:ind w:left="851" w:hanging="851"/>
        <w:jc w:val="both"/>
        <w:rPr>
          <w:rFonts w:cs="Arial"/>
          <w:szCs w:val="24"/>
        </w:rPr>
      </w:pPr>
    </w:p>
    <w:p w14:paraId="08459CE5" w14:textId="34680FB7" w:rsidR="009A07A8" w:rsidRPr="002519A3" w:rsidRDefault="00B602B7" w:rsidP="00B602B7">
      <w:pPr>
        <w:ind w:left="851" w:hanging="851"/>
        <w:jc w:val="both"/>
        <w:rPr>
          <w:rFonts w:eastAsia="Calibri" w:cs="Arial"/>
          <w:szCs w:val="24"/>
        </w:rPr>
      </w:pPr>
      <w:r w:rsidRPr="004F55B7">
        <w:rPr>
          <w:rFonts w:cs="Arial"/>
          <w:szCs w:val="24"/>
        </w:rPr>
        <w:t>3.2</w:t>
      </w:r>
      <w:r w:rsidRPr="004F55B7">
        <w:rPr>
          <w:rFonts w:cs="Arial"/>
          <w:szCs w:val="24"/>
        </w:rPr>
        <w:tab/>
      </w:r>
      <w:r w:rsidR="009A07A8" w:rsidRPr="002519A3">
        <w:rPr>
          <w:rFonts w:eastAsia="Calibri" w:cs="Arial"/>
          <w:szCs w:val="24"/>
        </w:rPr>
        <w:t xml:space="preserve">In December 2017, Harrow Council adopted a cabinet report outlining the process for CIL allocations in line with recommendations from the </w:t>
      </w:r>
      <w:r w:rsidR="003D3776" w:rsidRPr="002519A3">
        <w:rPr>
          <w:rFonts w:eastAsia="Calibri" w:cs="Arial"/>
          <w:szCs w:val="24"/>
        </w:rPr>
        <w:t xml:space="preserve">(former) </w:t>
      </w:r>
      <w:r w:rsidR="009A07A8" w:rsidRPr="002519A3">
        <w:rPr>
          <w:rFonts w:eastAsia="Calibri" w:cs="Arial"/>
          <w:szCs w:val="24"/>
        </w:rPr>
        <w:t xml:space="preserve">Major Developments Panel. Harrow has now had the benefit of five years of implementation with the current processes. </w:t>
      </w:r>
    </w:p>
    <w:p w14:paraId="1D35CCD8" w14:textId="77777777" w:rsidR="00B602B7" w:rsidRPr="004F55B7" w:rsidRDefault="00B602B7" w:rsidP="00B602B7">
      <w:pPr>
        <w:ind w:left="851" w:hanging="851"/>
        <w:jc w:val="both"/>
        <w:rPr>
          <w:rFonts w:cs="Arial"/>
          <w:szCs w:val="24"/>
        </w:rPr>
      </w:pPr>
    </w:p>
    <w:p w14:paraId="71A0A2F4" w14:textId="138E0F4D" w:rsidR="009A07A8" w:rsidRPr="002519A3" w:rsidRDefault="00B602B7" w:rsidP="00B602B7">
      <w:pPr>
        <w:ind w:left="851" w:hanging="851"/>
        <w:jc w:val="both"/>
        <w:rPr>
          <w:rFonts w:eastAsia="Calibri" w:cs="Arial"/>
          <w:szCs w:val="24"/>
        </w:rPr>
      </w:pPr>
      <w:r w:rsidRPr="004F55B7">
        <w:rPr>
          <w:rFonts w:cs="Arial"/>
          <w:szCs w:val="24"/>
        </w:rPr>
        <w:t>3.3</w:t>
      </w:r>
      <w:r w:rsidRPr="004F55B7">
        <w:rPr>
          <w:rFonts w:cs="Arial"/>
          <w:szCs w:val="24"/>
        </w:rPr>
        <w:tab/>
      </w:r>
      <w:r w:rsidR="009A07A8" w:rsidRPr="002519A3">
        <w:rPr>
          <w:rFonts w:eastAsia="Calibri" w:cs="Arial"/>
          <w:szCs w:val="24"/>
        </w:rPr>
        <w:t xml:space="preserve">In the five years since the adoption of this process the borough has gone through a number of changes, namely a change in administration and changes to ward boundaries. For this reason, </w:t>
      </w:r>
      <w:r w:rsidR="00433650" w:rsidRPr="002519A3">
        <w:rPr>
          <w:rFonts w:eastAsia="Calibri" w:cs="Arial"/>
          <w:szCs w:val="24"/>
        </w:rPr>
        <w:t xml:space="preserve">officers </w:t>
      </w:r>
      <w:r w:rsidR="00347AAF" w:rsidRPr="002519A3">
        <w:rPr>
          <w:rFonts w:eastAsia="Calibri" w:cs="Arial"/>
          <w:szCs w:val="24"/>
        </w:rPr>
        <w:t xml:space="preserve">have </w:t>
      </w:r>
      <w:r w:rsidR="009A07A8" w:rsidRPr="002519A3">
        <w:rPr>
          <w:rFonts w:eastAsia="Calibri" w:cs="Arial"/>
          <w:szCs w:val="24"/>
        </w:rPr>
        <w:t xml:space="preserve">proposed a review of the current process to ensure that they are achieving the council’s objectives and providing the best possible outcomes for the community. </w:t>
      </w:r>
    </w:p>
    <w:p w14:paraId="7BC758B8" w14:textId="77777777" w:rsidR="00B602B7" w:rsidRDefault="00B602B7" w:rsidP="00B602B7">
      <w:pPr>
        <w:ind w:left="851" w:hanging="851"/>
        <w:jc w:val="both"/>
        <w:rPr>
          <w:rFonts w:cs="Arial"/>
          <w:szCs w:val="24"/>
        </w:rPr>
      </w:pPr>
    </w:p>
    <w:p w14:paraId="4FEF6050" w14:textId="67EFB76D" w:rsidR="0005165B" w:rsidRDefault="0005165B" w:rsidP="00B602B7">
      <w:pPr>
        <w:ind w:left="851" w:hanging="851"/>
        <w:jc w:val="both"/>
        <w:rPr>
          <w:rFonts w:cs="Arial"/>
          <w:szCs w:val="24"/>
        </w:rPr>
      </w:pPr>
      <w:r>
        <w:rPr>
          <w:rFonts w:cs="Arial"/>
          <w:szCs w:val="24"/>
        </w:rPr>
        <w:t>3.4</w:t>
      </w:r>
      <w:r>
        <w:rPr>
          <w:rFonts w:cs="Arial"/>
          <w:szCs w:val="24"/>
        </w:rPr>
        <w:tab/>
        <w:t>Appendix A provides an indication of recent levels of CIL income and expenditure, and current balances, for context</w:t>
      </w:r>
      <w:r w:rsidR="00A25431">
        <w:rPr>
          <w:rFonts w:cs="Arial"/>
          <w:szCs w:val="24"/>
        </w:rPr>
        <w:t xml:space="preserve"> (see section </w:t>
      </w:r>
      <w:r w:rsidR="00865FC9">
        <w:rPr>
          <w:rFonts w:cs="Arial"/>
          <w:szCs w:val="24"/>
        </w:rPr>
        <w:t>4</w:t>
      </w:r>
      <w:r w:rsidR="00A25431">
        <w:rPr>
          <w:rFonts w:cs="Arial"/>
          <w:szCs w:val="24"/>
        </w:rPr>
        <w:t xml:space="preserve"> below for explanation of BCIL / NCIL)</w:t>
      </w:r>
      <w:r>
        <w:rPr>
          <w:rFonts w:cs="Arial"/>
          <w:szCs w:val="24"/>
        </w:rPr>
        <w:t xml:space="preserve">. Appendix B </w:t>
      </w:r>
      <w:r w:rsidR="000D2302">
        <w:rPr>
          <w:rFonts w:cs="Arial"/>
          <w:szCs w:val="24"/>
        </w:rPr>
        <w:t>shows recent expenditure / commitments (i.e. allocated and / or partially spent funds)</w:t>
      </w:r>
      <w:r w:rsidR="00FE4B4E">
        <w:rPr>
          <w:rFonts w:cs="Arial"/>
          <w:szCs w:val="24"/>
        </w:rPr>
        <w:t xml:space="preserve">. Appendix C shows BCIL allocations for </w:t>
      </w:r>
      <w:r w:rsidR="007713A1">
        <w:rPr>
          <w:rFonts w:cs="Arial"/>
          <w:szCs w:val="24"/>
        </w:rPr>
        <w:t>2023/24 (as per the current capital programme).</w:t>
      </w:r>
    </w:p>
    <w:p w14:paraId="424F709F" w14:textId="77777777" w:rsidR="0005165B" w:rsidRPr="004F55B7" w:rsidRDefault="0005165B" w:rsidP="00B602B7">
      <w:pPr>
        <w:ind w:left="851" w:hanging="851"/>
        <w:jc w:val="both"/>
        <w:rPr>
          <w:rFonts w:cs="Arial"/>
          <w:szCs w:val="24"/>
        </w:rPr>
      </w:pPr>
    </w:p>
    <w:p w14:paraId="3A987074" w14:textId="0E449561" w:rsidR="009A07A8" w:rsidRPr="002519A3" w:rsidRDefault="00B602B7" w:rsidP="00D72B0E">
      <w:pPr>
        <w:keepNext/>
        <w:ind w:left="851" w:hanging="851"/>
        <w:jc w:val="both"/>
        <w:rPr>
          <w:rFonts w:eastAsia="Calibri" w:cs="Arial"/>
          <w:szCs w:val="24"/>
        </w:rPr>
      </w:pPr>
      <w:r w:rsidRPr="004F55B7">
        <w:rPr>
          <w:rFonts w:cs="Arial"/>
          <w:szCs w:val="24"/>
        </w:rPr>
        <w:t>3.</w:t>
      </w:r>
      <w:r w:rsidR="00865FC9">
        <w:rPr>
          <w:rFonts w:cs="Arial"/>
          <w:szCs w:val="24"/>
        </w:rPr>
        <w:t>5</w:t>
      </w:r>
      <w:r w:rsidRPr="004F55B7">
        <w:rPr>
          <w:rFonts w:cs="Arial"/>
          <w:szCs w:val="24"/>
        </w:rPr>
        <w:tab/>
      </w:r>
      <w:r w:rsidR="00A77A83" w:rsidRPr="002519A3">
        <w:rPr>
          <w:rFonts w:eastAsia="Calibri" w:cs="Arial"/>
          <w:szCs w:val="24"/>
        </w:rPr>
        <w:t>Initial discussions have been held with relevant Portfolio Holders in the new administration</w:t>
      </w:r>
      <w:r w:rsidR="00E15A47">
        <w:rPr>
          <w:rFonts w:eastAsia="Calibri" w:cs="Arial"/>
          <w:szCs w:val="24"/>
        </w:rPr>
        <w:t>.</w:t>
      </w:r>
      <w:r w:rsidR="00A77A83" w:rsidRPr="002519A3">
        <w:rPr>
          <w:rFonts w:eastAsia="Calibri" w:cs="Arial"/>
          <w:szCs w:val="24"/>
        </w:rPr>
        <w:t xml:space="preserve"> </w:t>
      </w:r>
      <w:r w:rsidR="009A07A8" w:rsidRPr="002519A3">
        <w:rPr>
          <w:rFonts w:eastAsia="Calibri" w:cs="Arial"/>
          <w:szCs w:val="24"/>
        </w:rPr>
        <w:t xml:space="preserve">Additional internal consultation will be required with departments that have interests in CIL allocation, process administration, project delivery and prioritisation of projects. The interested parties fall into three categories including: </w:t>
      </w:r>
    </w:p>
    <w:p w14:paraId="6206C8DF" w14:textId="77777777" w:rsidR="00D72B0E" w:rsidRPr="004F55B7" w:rsidRDefault="00D72B0E" w:rsidP="00D72B0E">
      <w:pPr>
        <w:keepNext/>
        <w:ind w:left="851" w:hanging="851"/>
        <w:jc w:val="both"/>
        <w:rPr>
          <w:rFonts w:cs="Arial"/>
          <w:szCs w:val="24"/>
        </w:rPr>
      </w:pPr>
    </w:p>
    <w:p w14:paraId="051EEC95" w14:textId="56CD75ED" w:rsidR="009A07A8" w:rsidRPr="001C11D9" w:rsidRDefault="00D72B0E" w:rsidP="00D72B0E">
      <w:pPr>
        <w:ind w:left="1701" w:hanging="851"/>
        <w:jc w:val="both"/>
        <w:rPr>
          <w:rFonts w:eastAsia="Calibri" w:cs="Arial"/>
          <w:szCs w:val="24"/>
        </w:rPr>
      </w:pPr>
      <w:r w:rsidRPr="004F55B7">
        <w:rPr>
          <w:rFonts w:cs="Arial"/>
          <w:szCs w:val="24"/>
        </w:rPr>
        <w:t>(a)</w:t>
      </w:r>
      <w:r w:rsidRPr="004F55B7">
        <w:rPr>
          <w:rFonts w:cs="Arial"/>
          <w:szCs w:val="24"/>
        </w:rPr>
        <w:tab/>
      </w:r>
      <w:r w:rsidR="009A07A8" w:rsidRPr="001C11D9">
        <w:rPr>
          <w:rFonts w:eastAsia="Calibri" w:cs="Arial"/>
          <w:szCs w:val="24"/>
        </w:rPr>
        <w:t xml:space="preserve">‘Governance’ (Planning, Finance, Legal, Portfolio Holders), </w:t>
      </w:r>
    </w:p>
    <w:p w14:paraId="0E66CCD3" w14:textId="7721D5BC" w:rsidR="009A07A8" w:rsidRPr="001C11D9" w:rsidRDefault="00D72B0E" w:rsidP="00D72B0E">
      <w:pPr>
        <w:ind w:left="1701" w:hanging="851"/>
        <w:jc w:val="both"/>
        <w:rPr>
          <w:rFonts w:eastAsia="Calibri" w:cs="Arial"/>
          <w:szCs w:val="24"/>
        </w:rPr>
      </w:pPr>
      <w:r w:rsidRPr="004F55B7">
        <w:rPr>
          <w:rFonts w:cs="Arial"/>
          <w:szCs w:val="24"/>
        </w:rPr>
        <w:t>(b)</w:t>
      </w:r>
      <w:r w:rsidRPr="004F55B7">
        <w:rPr>
          <w:rFonts w:cs="Arial"/>
          <w:szCs w:val="24"/>
        </w:rPr>
        <w:tab/>
      </w:r>
      <w:r w:rsidR="009A07A8" w:rsidRPr="001C11D9">
        <w:rPr>
          <w:rFonts w:eastAsia="Calibri" w:cs="Arial"/>
          <w:szCs w:val="24"/>
        </w:rPr>
        <w:t>‘Administration’ (Planning, Community Engagement, Economic Development, Finance) and</w:t>
      </w:r>
    </w:p>
    <w:p w14:paraId="1FCC9C50" w14:textId="6D86F8FE" w:rsidR="00BB11F0" w:rsidRPr="001C11D9" w:rsidRDefault="00D72B0E" w:rsidP="00D72B0E">
      <w:pPr>
        <w:ind w:left="1701" w:hanging="851"/>
        <w:jc w:val="both"/>
        <w:rPr>
          <w:rFonts w:eastAsia="Calibri" w:cs="Arial"/>
          <w:szCs w:val="24"/>
        </w:rPr>
      </w:pPr>
      <w:r w:rsidRPr="004F55B7">
        <w:rPr>
          <w:rFonts w:cs="Arial"/>
          <w:szCs w:val="24"/>
        </w:rPr>
        <w:t>(c)</w:t>
      </w:r>
      <w:r w:rsidRPr="004F55B7">
        <w:rPr>
          <w:rFonts w:cs="Arial"/>
          <w:szCs w:val="24"/>
        </w:rPr>
        <w:tab/>
      </w:r>
      <w:r w:rsidR="009A07A8" w:rsidRPr="001C11D9">
        <w:rPr>
          <w:rFonts w:eastAsia="Calibri" w:cs="Arial"/>
          <w:szCs w:val="24"/>
        </w:rPr>
        <w:t>‘Delivery’ (Service Areas delivering infrastructure capable of being funded under the CIL Regulations).</w:t>
      </w:r>
    </w:p>
    <w:p w14:paraId="0E116AB4" w14:textId="77777777" w:rsidR="00D72B0E" w:rsidRPr="004F55B7" w:rsidRDefault="00D72B0E" w:rsidP="00B602B7">
      <w:pPr>
        <w:ind w:left="851" w:hanging="851"/>
        <w:jc w:val="both"/>
        <w:rPr>
          <w:rFonts w:cs="Arial"/>
          <w:szCs w:val="24"/>
        </w:rPr>
      </w:pPr>
    </w:p>
    <w:p w14:paraId="76DE2788" w14:textId="2AA86912" w:rsidR="00410C2B" w:rsidRPr="002519A3" w:rsidRDefault="00D72B0E" w:rsidP="00B602B7">
      <w:pPr>
        <w:ind w:left="851" w:hanging="851"/>
        <w:jc w:val="both"/>
        <w:rPr>
          <w:rFonts w:eastAsia="Calibri" w:cs="Arial"/>
          <w:szCs w:val="24"/>
        </w:rPr>
      </w:pPr>
      <w:r w:rsidRPr="004F55B7">
        <w:rPr>
          <w:rFonts w:cs="Arial"/>
          <w:szCs w:val="24"/>
        </w:rPr>
        <w:t>3.</w:t>
      </w:r>
      <w:r w:rsidR="00865FC9">
        <w:rPr>
          <w:rFonts w:cs="Arial"/>
          <w:szCs w:val="24"/>
        </w:rPr>
        <w:t>6</w:t>
      </w:r>
      <w:r w:rsidRPr="004F55B7">
        <w:rPr>
          <w:rFonts w:cs="Arial"/>
          <w:szCs w:val="24"/>
        </w:rPr>
        <w:tab/>
      </w:r>
      <w:r w:rsidR="009A07A8" w:rsidRPr="002519A3">
        <w:rPr>
          <w:rFonts w:eastAsia="Calibri" w:cs="Arial"/>
          <w:szCs w:val="24"/>
        </w:rPr>
        <w:t>Most importantly the review will need to solidify a clear set of roles and responsibilities for Members</w:t>
      </w:r>
      <w:r w:rsidR="004B048B" w:rsidRPr="002519A3">
        <w:rPr>
          <w:rFonts w:eastAsia="Calibri" w:cs="Arial"/>
          <w:szCs w:val="24"/>
        </w:rPr>
        <w:t xml:space="preserve"> (Portfolio Holders, ward Councillors)</w:t>
      </w:r>
      <w:r w:rsidR="009A07A8" w:rsidRPr="002519A3">
        <w:rPr>
          <w:rFonts w:eastAsia="Calibri" w:cs="Arial"/>
          <w:szCs w:val="24"/>
        </w:rPr>
        <w:t xml:space="preserve">, corporate leadership, departments and officers, and articulate the allocations process. </w:t>
      </w:r>
    </w:p>
    <w:p w14:paraId="12DB4400" w14:textId="77777777" w:rsidR="00540E5F" w:rsidRPr="00F07F90" w:rsidRDefault="00540E5F" w:rsidP="00B602B7">
      <w:pPr>
        <w:ind w:left="851" w:hanging="851"/>
        <w:jc w:val="both"/>
        <w:rPr>
          <w:rFonts w:eastAsia="Calibri" w:cs="Arial"/>
          <w:szCs w:val="24"/>
        </w:rPr>
      </w:pPr>
    </w:p>
    <w:p w14:paraId="1692A933" w14:textId="7E982D16" w:rsidR="00FC0BCF" w:rsidRPr="00120211" w:rsidRDefault="00654E57" w:rsidP="000C539A">
      <w:pPr>
        <w:pStyle w:val="Heading3"/>
        <w:keepNext/>
        <w:ind w:left="851" w:hanging="851"/>
        <w:rPr>
          <w:rFonts w:eastAsia="Calibri"/>
        </w:rPr>
      </w:pPr>
      <w:r w:rsidRPr="004F55B7">
        <w:rPr>
          <w:rFonts w:eastAsia="Calibri"/>
        </w:rPr>
        <w:t>4.0</w:t>
      </w:r>
      <w:r w:rsidRPr="004F55B7">
        <w:rPr>
          <w:rFonts w:eastAsia="Calibri"/>
        </w:rPr>
        <w:tab/>
        <w:t>Scope and Mechanism Relationships</w:t>
      </w:r>
    </w:p>
    <w:p w14:paraId="75A71CE8" w14:textId="77777777" w:rsidR="00DE17C5" w:rsidRPr="004F55B7" w:rsidRDefault="00DE17C5" w:rsidP="000C539A">
      <w:pPr>
        <w:keepNext/>
        <w:ind w:left="851" w:hanging="851"/>
        <w:jc w:val="both"/>
        <w:rPr>
          <w:rFonts w:cs="Arial"/>
          <w:szCs w:val="24"/>
        </w:rPr>
      </w:pPr>
    </w:p>
    <w:p w14:paraId="0F91A856" w14:textId="78236308" w:rsidR="00FC0BCF" w:rsidRPr="002519A3" w:rsidRDefault="00654E57" w:rsidP="00B602B7">
      <w:pPr>
        <w:ind w:left="851" w:hanging="851"/>
        <w:jc w:val="both"/>
        <w:rPr>
          <w:rFonts w:eastAsia="Calibri" w:cs="Arial"/>
          <w:szCs w:val="24"/>
        </w:rPr>
      </w:pPr>
      <w:r w:rsidRPr="004F55B7">
        <w:rPr>
          <w:rFonts w:cs="Arial"/>
          <w:szCs w:val="24"/>
        </w:rPr>
        <w:t>4.1</w:t>
      </w:r>
      <w:r w:rsidRPr="004F55B7">
        <w:rPr>
          <w:rFonts w:cs="Arial"/>
          <w:szCs w:val="24"/>
        </w:rPr>
        <w:tab/>
      </w:r>
      <w:r w:rsidR="00D7413D" w:rsidRPr="002519A3">
        <w:rPr>
          <w:rFonts w:eastAsia="Calibri" w:cs="Arial"/>
          <w:szCs w:val="24"/>
        </w:rPr>
        <w:t xml:space="preserve">The proposed </w:t>
      </w:r>
      <w:r w:rsidR="00FC0BCF" w:rsidRPr="002519A3">
        <w:rPr>
          <w:rFonts w:eastAsia="Calibri" w:cs="Arial"/>
          <w:szCs w:val="24"/>
        </w:rPr>
        <w:t xml:space="preserve">review will examine the role of the Neighbourhood Community Infrastructure Levy (NCIL), Borough Community Infrastructure Levy (BCIL) and S106 </w:t>
      </w:r>
      <w:r w:rsidR="008E0BB3" w:rsidRPr="002519A3">
        <w:rPr>
          <w:rFonts w:eastAsia="Calibri" w:cs="Arial"/>
          <w:szCs w:val="24"/>
        </w:rPr>
        <w:t xml:space="preserve">‘Planning Obligation’ </w:t>
      </w:r>
      <w:r w:rsidR="00FC0BCF" w:rsidRPr="002519A3">
        <w:rPr>
          <w:rFonts w:eastAsia="Calibri" w:cs="Arial"/>
          <w:szCs w:val="24"/>
        </w:rPr>
        <w:t>Agreements. The current definitions of these aspects are derived from the Community Infrastructure Levy Regulations 2010 (</w:t>
      </w:r>
      <w:r w:rsidR="00E675AB">
        <w:rPr>
          <w:rFonts w:eastAsia="Calibri" w:cs="Arial"/>
          <w:szCs w:val="24"/>
        </w:rPr>
        <w:t>a</w:t>
      </w:r>
      <w:r w:rsidR="00FC0BCF" w:rsidRPr="002519A3">
        <w:rPr>
          <w:rFonts w:eastAsia="Calibri" w:cs="Arial"/>
          <w:szCs w:val="24"/>
        </w:rPr>
        <w:t>s amended).</w:t>
      </w:r>
    </w:p>
    <w:p w14:paraId="5C38B539" w14:textId="77777777" w:rsidR="004411E5" w:rsidRPr="004F55B7" w:rsidRDefault="004411E5" w:rsidP="00B602B7">
      <w:pPr>
        <w:ind w:left="851" w:hanging="851"/>
        <w:jc w:val="both"/>
        <w:rPr>
          <w:rFonts w:cs="Arial"/>
          <w:szCs w:val="24"/>
        </w:rPr>
      </w:pPr>
    </w:p>
    <w:p w14:paraId="61F3B0C6" w14:textId="50531B59" w:rsidR="00FC0BCF" w:rsidRPr="002519A3" w:rsidRDefault="004411E5" w:rsidP="00B602B7">
      <w:pPr>
        <w:ind w:left="851" w:hanging="851"/>
        <w:jc w:val="both"/>
        <w:rPr>
          <w:rFonts w:eastAsia="Calibri" w:cs="Arial"/>
          <w:szCs w:val="24"/>
        </w:rPr>
      </w:pPr>
      <w:r w:rsidRPr="004F55B7">
        <w:rPr>
          <w:rFonts w:cs="Arial"/>
          <w:szCs w:val="24"/>
        </w:rPr>
        <w:t>4.2</w:t>
      </w:r>
      <w:r w:rsidRPr="004F55B7">
        <w:rPr>
          <w:rFonts w:cs="Arial"/>
          <w:szCs w:val="24"/>
        </w:rPr>
        <w:tab/>
      </w:r>
      <w:r w:rsidR="00FC0BCF" w:rsidRPr="002519A3">
        <w:rPr>
          <w:rFonts w:eastAsia="Calibri" w:cs="Arial"/>
          <w:szCs w:val="24"/>
        </w:rPr>
        <w:t>A minimum of 15% of CIL funds received through the levy (subject to a cap of £100 per dwelling in the local area) must be spent on projects that take account of the views of the communities in which development has taken place (‘Neighbourhood CIL’) (NCIL) and ‘supports the development of the area’ in which the CIL is generated.</w:t>
      </w:r>
      <w:r w:rsidR="00A03D6A">
        <w:rPr>
          <w:rFonts w:eastAsia="Calibri" w:cs="Arial"/>
          <w:szCs w:val="24"/>
        </w:rPr>
        <w:t xml:space="preserve"> (Note, is 25% in areas covered by neighbourhood plans, but there are none of these in Harrow).</w:t>
      </w:r>
      <w:r w:rsidR="00FC0BCF" w:rsidRPr="002519A3">
        <w:rPr>
          <w:rFonts w:eastAsia="Calibri" w:cs="Arial"/>
          <w:szCs w:val="24"/>
        </w:rPr>
        <w:t xml:space="preserve"> NCIL spending should be allocated in consultation with the local community. Many boroughs do this though direct community consultation, while Harrow utilises ward members as the means of consultation with the community by requiring support of any project </w:t>
      </w:r>
      <w:r w:rsidR="00C478CE">
        <w:rPr>
          <w:rFonts w:eastAsia="Calibri" w:cs="Arial"/>
          <w:szCs w:val="24"/>
        </w:rPr>
        <w:t>from</w:t>
      </w:r>
      <w:r w:rsidR="00FC0BCF" w:rsidRPr="002519A3">
        <w:rPr>
          <w:rFonts w:eastAsia="Calibri" w:cs="Arial"/>
          <w:szCs w:val="24"/>
        </w:rPr>
        <w:t xml:space="preserve"> the majority of relevant ward members (and also often as a means of project identification). </w:t>
      </w:r>
    </w:p>
    <w:p w14:paraId="71C3680F" w14:textId="77777777" w:rsidR="004411E5" w:rsidRPr="004F55B7" w:rsidRDefault="004411E5" w:rsidP="00B602B7">
      <w:pPr>
        <w:ind w:left="851" w:hanging="851"/>
        <w:jc w:val="both"/>
        <w:rPr>
          <w:rFonts w:cs="Arial"/>
          <w:szCs w:val="24"/>
        </w:rPr>
      </w:pPr>
    </w:p>
    <w:p w14:paraId="5CD18B59" w14:textId="075B33D9" w:rsidR="00FC0BCF" w:rsidRPr="002519A3" w:rsidRDefault="004411E5" w:rsidP="00B602B7">
      <w:pPr>
        <w:ind w:left="851" w:hanging="851"/>
        <w:jc w:val="both"/>
        <w:rPr>
          <w:rFonts w:eastAsia="Calibri" w:cs="Arial"/>
          <w:szCs w:val="24"/>
        </w:rPr>
      </w:pPr>
      <w:r w:rsidRPr="004F55B7">
        <w:rPr>
          <w:rFonts w:cs="Arial"/>
          <w:szCs w:val="24"/>
        </w:rPr>
        <w:t>4.3</w:t>
      </w:r>
      <w:r w:rsidRPr="004F55B7">
        <w:rPr>
          <w:rFonts w:cs="Arial"/>
          <w:szCs w:val="24"/>
        </w:rPr>
        <w:tab/>
      </w:r>
      <w:r w:rsidR="00FC0BCF" w:rsidRPr="002519A3">
        <w:rPr>
          <w:rFonts w:eastAsia="Calibri" w:cs="Arial"/>
          <w:szCs w:val="24"/>
        </w:rPr>
        <w:t>The remaining CIL balance (excluding administration costs) is referred to as ‘Borough CIL’ (BCIL) and may be spent anywhere in the borough, provided it supports infrastructure development within the borough.</w:t>
      </w:r>
    </w:p>
    <w:p w14:paraId="5A31BEB2" w14:textId="77777777" w:rsidR="004411E5" w:rsidRPr="004F55B7" w:rsidRDefault="004411E5" w:rsidP="00B602B7">
      <w:pPr>
        <w:ind w:left="851" w:hanging="851"/>
        <w:jc w:val="both"/>
        <w:rPr>
          <w:rFonts w:cs="Arial"/>
          <w:szCs w:val="24"/>
        </w:rPr>
      </w:pPr>
    </w:p>
    <w:p w14:paraId="6DDBB2FD" w14:textId="17C2B1FA" w:rsidR="00FC0BCF" w:rsidRPr="002519A3" w:rsidRDefault="004411E5" w:rsidP="00B602B7">
      <w:pPr>
        <w:ind w:left="851" w:hanging="851"/>
        <w:jc w:val="both"/>
        <w:rPr>
          <w:rFonts w:eastAsia="Calibri" w:cs="Arial"/>
          <w:szCs w:val="24"/>
        </w:rPr>
      </w:pPr>
      <w:r w:rsidRPr="004F55B7">
        <w:rPr>
          <w:rFonts w:cs="Arial"/>
          <w:szCs w:val="24"/>
        </w:rPr>
        <w:t>4.4</w:t>
      </w:r>
      <w:r w:rsidRPr="004F55B7">
        <w:rPr>
          <w:rFonts w:cs="Arial"/>
          <w:szCs w:val="24"/>
        </w:rPr>
        <w:tab/>
      </w:r>
      <w:r w:rsidR="00FC0BCF" w:rsidRPr="002519A3">
        <w:rPr>
          <w:rFonts w:eastAsia="Calibri" w:cs="Arial"/>
          <w:szCs w:val="24"/>
        </w:rPr>
        <w:t xml:space="preserve">Contributions from S106 agreements are tied to planning permissions and typically have legal constraints stipulating what the funds can be spent on. </w:t>
      </w:r>
      <w:r w:rsidR="009B6A6D" w:rsidRPr="002519A3">
        <w:rPr>
          <w:rFonts w:eastAsia="Calibri" w:cs="Arial"/>
          <w:szCs w:val="24"/>
        </w:rPr>
        <w:t xml:space="preserve">They essentially secure obligations from developments </w:t>
      </w:r>
      <w:r w:rsidR="00A440D6" w:rsidRPr="002519A3">
        <w:rPr>
          <w:rFonts w:eastAsia="Calibri" w:cs="Arial"/>
          <w:szCs w:val="24"/>
        </w:rPr>
        <w:t xml:space="preserve">that are required to make the development acceptable in planning terms (i.e. highways works, securing affordable housing). </w:t>
      </w:r>
      <w:r w:rsidR="00FC0BCF" w:rsidRPr="002519A3">
        <w:rPr>
          <w:rFonts w:eastAsia="Calibri" w:cs="Arial"/>
          <w:szCs w:val="24"/>
        </w:rPr>
        <w:t xml:space="preserve">A review of current S106 balances will be undertaken to determine what balances are ringfenced for specific projects. Spending of S106 balances should be prioritised as the agreements </w:t>
      </w:r>
      <w:r w:rsidR="00C42B33" w:rsidRPr="002519A3">
        <w:rPr>
          <w:rFonts w:eastAsia="Calibri" w:cs="Arial"/>
          <w:szCs w:val="24"/>
        </w:rPr>
        <w:t xml:space="preserve">typically </w:t>
      </w:r>
      <w:r w:rsidR="006D482D" w:rsidRPr="002519A3">
        <w:rPr>
          <w:rFonts w:eastAsia="Calibri" w:cs="Arial"/>
          <w:szCs w:val="24"/>
        </w:rPr>
        <w:t>include obligations on the Council to spend any contr</w:t>
      </w:r>
      <w:r w:rsidR="005673E9" w:rsidRPr="002519A3">
        <w:rPr>
          <w:rFonts w:eastAsia="Calibri" w:cs="Arial"/>
          <w:szCs w:val="24"/>
        </w:rPr>
        <w:t>ibutions</w:t>
      </w:r>
      <w:r w:rsidR="006D482D" w:rsidRPr="002519A3">
        <w:rPr>
          <w:rFonts w:eastAsia="Calibri" w:cs="Arial"/>
          <w:szCs w:val="24"/>
        </w:rPr>
        <w:t xml:space="preserve"> within a certain period (</w:t>
      </w:r>
      <w:r w:rsidR="007B6F2E" w:rsidRPr="002519A3">
        <w:rPr>
          <w:rFonts w:eastAsia="Calibri" w:cs="Arial"/>
          <w:szCs w:val="24"/>
        </w:rPr>
        <w:t>generally</w:t>
      </w:r>
      <w:r w:rsidR="00FC0BCF" w:rsidRPr="002519A3">
        <w:rPr>
          <w:rFonts w:eastAsia="Calibri" w:cs="Arial"/>
          <w:szCs w:val="24"/>
        </w:rPr>
        <w:t xml:space="preserve"> between </w:t>
      </w:r>
      <w:r w:rsidR="007B6F2E" w:rsidRPr="002519A3">
        <w:rPr>
          <w:rFonts w:eastAsia="Calibri" w:cs="Arial"/>
          <w:szCs w:val="24"/>
        </w:rPr>
        <w:t xml:space="preserve">five </w:t>
      </w:r>
      <w:r w:rsidR="00FC0BCF" w:rsidRPr="002519A3">
        <w:rPr>
          <w:rFonts w:eastAsia="Calibri" w:cs="Arial"/>
          <w:szCs w:val="24"/>
        </w:rPr>
        <w:t>and ten years</w:t>
      </w:r>
      <w:r w:rsidR="007B6F2E" w:rsidRPr="002519A3">
        <w:rPr>
          <w:rFonts w:eastAsia="Calibri" w:cs="Arial"/>
          <w:szCs w:val="24"/>
        </w:rPr>
        <w:t>) or the Council may need to return</w:t>
      </w:r>
      <w:r w:rsidR="009B509D" w:rsidRPr="002519A3">
        <w:rPr>
          <w:rFonts w:eastAsia="Calibri" w:cs="Arial"/>
          <w:szCs w:val="24"/>
        </w:rPr>
        <w:t xml:space="preserve"> the contribution. </w:t>
      </w:r>
    </w:p>
    <w:p w14:paraId="61E97259" w14:textId="77777777" w:rsidR="004411E5" w:rsidRPr="004F55B7" w:rsidRDefault="004411E5" w:rsidP="00B602B7">
      <w:pPr>
        <w:ind w:left="851" w:hanging="851"/>
        <w:jc w:val="both"/>
        <w:rPr>
          <w:rFonts w:cs="Arial"/>
          <w:szCs w:val="24"/>
        </w:rPr>
      </w:pPr>
    </w:p>
    <w:p w14:paraId="206E9610" w14:textId="5DF407DC" w:rsidR="00FC0BCF" w:rsidRPr="002519A3" w:rsidRDefault="004411E5" w:rsidP="00B602B7">
      <w:pPr>
        <w:ind w:left="851" w:hanging="851"/>
        <w:jc w:val="both"/>
        <w:rPr>
          <w:rFonts w:eastAsia="Calibri" w:cs="Arial"/>
          <w:szCs w:val="24"/>
        </w:rPr>
      </w:pPr>
      <w:r w:rsidRPr="004F55B7">
        <w:rPr>
          <w:rFonts w:cs="Arial"/>
          <w:szCs w:val="24"/>
        </w:rPr>
        <w:t>4.5</w:t>
      </w:r>
      <w:r w:rsidRPr="004F55B7">
        <w:rPr>
          <w:rFonts w:cs="Arial"/>
          <w:szCs w:val="24"/>
        </w:rPr>
        <w:tab/>
      </w:r>
      <w:r w:rsidR="00FC0BCF" w:rsidRPr="002519A3">
        <w:rPr>
          <w:rFonts w:eastAsia="Calibri" w:cs="Arial"/>
          <w:szCs w:val="24"/>
        </w:rPr>
        <w:t xml:space="preserve">A CIL forecast will be produced to predict levels of income from developments over the next five years providing a rough indication of what the council can expect to see as income. This will allow the council to start prioritising which infrastructure projects will be funded. </w:t>
      </w:r>
      <w:r w:rsidR="00BB72F9" w:rsidRPr="002519A3">
        <w:rPr>
          <w:rFonts w:eastAsia="Calibri" w:cs="Arial"/>
          <w:szCs w:val="24"/>
        </w:rPr>
        <w:t xml:space="preserve">Any forecast will be indicative only as the level of CIL received is dependent on the </w:t>
      </w:r>
      <w:r w:rsidR="00047921" w:rsidRPr="002519A3">
        <w:rPr>
          <w:rFonts w:eastAsia="Calibri" w:cs="Arial"/>
          <w:szCs w:val="24"/>
        </w:rPr>
        <w:t>rate and type</w:t>
      </w:r>
      <w:r w:rsidR="00BB72F9" w:rsidRPr="002519A3">
        <w:rPr>
          <w:rFonts w:eastAsia="Calibri" w:cs="Arial"/>
          <w:szCs w:val="24"/>
        </w:rPr>
        <w:t xml:space="preserve"> of development that comes forward</w:t>
      </w:r>
      <w:r w:rsidR="00047921" w:rsidRPr="002519A3">
        <w:rPr>
          <w:rFonts w:eastAsia="Calibri" w:cs="Arial"/>
          <w:szCs w:val="24"/>
        </w:rPr>
        <w:t xml:space="preserve"> and can be subject to mandatory relief from paying CIL (i.e. affordable housing).</w:t>
      </w:r>
    </w:p>
    <w:p w14:paraId="70EF5B9C" w14:textId="77777777" w:rsidR="004411E5" w:rsidRPr="004F55B7" w:rsidRDefault="004411E5" w:rsidP="00B602B7">
      <w:pPr>
        <w:ind w:left="851" w:hanging="851"/>
        <w:jc w:val="both"/>
        <w:rPr>
          <w:rFonts w:cs="Arial"/>
          <w:szCs w:val="24"/>
        </w:rPr>
      </w:pPr>
    </w:p>
    <w:p w14:paraId="4D7FAAEB" w14:textId="53C686D9" w:rsidR="00FC0BCF" w:rsidRPr="002519A3" w:rsidRDefault="004411E5" w:rsidP="00B602B7">
      <w:pPr>
        <w:ind w:left="851" w:hanging="851"/>
        <w:jc w:val="both"/>
        <w:rPr>
          <w:rFonts w:eastAsia="Calibri" w:cs="Arial"/>
          <w:szCs w:val="24"/>
        </w:rPr>
      </w:pPr>
      <w:r w:rsidRPr="004F55B7">
        <w:rPr>
          <w:rFonts w:cs="Arial"/>
          <w:szCs w:val="24"/>
        </w:rPr>
        <w:t>4.6</w:t>
      </w:r>
      <w:r w:rsidRPr="004F55B7">
        <w:rPr>
          <w:rFonts w:cs="Arial"/>
          <w:szCs w:val="24"/>
        </w:rPr>
        <w:tab/>
      </w:r>
      <w:r w:rsidR="00FC0BCF" w:rsidRPr="002519A3">
        <w:rPr>
          <w:rFonts w:eastAsia="Calibri" w:cs="Arial"/>
          <w:szCs w:val="24"/>
        </w:rPr>
        <w:t>It is important to note that no changes are currently being proposed to the CIL charging schedule, only the methods of funding allocation</w:t>
      </w:r>
      <w:r w:rsidRPr="004F55B7">
        <w:rPr>
          <w:rFonts w:cs="Arial"/>
          <w:szCs w:val="24"/>
        </w:rPr>
        <w:t xml:space="preserve"> and processes</w:t>
      </w:r>
      <w:r w:rsidR="00FC0BCF" w:rsidRPr="002519A3">
        <w:rPr>
          <w:rFonts w:eastAsia="Calibri" w:cs="Arial"/>
          <w:szCs w:val="24"/>
        </w:rPr>
        <w:t xml:space="preserve">. </w:t>
      </w:r>
    </w:p>
    <w:p w14:paraId="768559F0" w14:textId="77777777" w:rsidR="001C11D9" w:rsidRPr="00F07F90" w:rsidRDefault="001C11D9" w:rsidP="00B602B7">
      <w:pPr>
        <w:ind w:left="851" w:hanging="851"/>
        <w:jc w:val="both"/>
        <w:rPr>
          <w:rFonts w:eastAsia="Calibri" w:cs="Arial"/>
          <w:szCs w:val="24"/>
        </w:rPr>
      </w:pPr>
    </w:p>
    <w:p w14:paraId="35CCE1AC" w14:textId="719AF32A" w:rsidR="00FC0BCF" w:rsidRPr="00FC0BCF" w:rsidRDefault="000C539A" w:rsidP="00906C09">
      <w:pPr>
        <w:pStyle w:val="Heading3"/>
        <w:keepNext/>
        <w:ind w:left="851" w:hanging="851"/>
        <w:rPr>
          <w:rFonts w:eastAsia="Calibri"/>
        </w:rPr>
      </w:pPr>
      <w:r w:rsidRPr="004F55B7">
        <w:rPr>
          <w:rFonts w:eastAsia="Calibri"/>
        </w:rPr>
        <w:t>5.0</w:t>
      </w:r>
      <w:r w:rsidRPr="004F55B7">
        <w:rPr>
          <w:rFonts w:eastAsia="Calibri"/>
        </w:rPr>
        <w:tab/>
        <w:t>Current Processes</w:t>
      </w:r>
    </w:p>
    <w:p w14:paraId="7473ED45" w14:textId="77777777" w:rsidR="00906C09" w:rsidRPr="004F55B7" w:rsidRDefault="00906C09" w:rsidP="00906C09">
      <w:pPr>
        <w:keepNext/>
        <w:ind w:left="851" w:hanging="851"/>
        <w:jc w:val="both"/>
        <w:rPr>
          <w:rFonts w:cs="Arial"/>
          <w:szCs w:val="24"/>
        </w:rPr>
      </w:pPr>
    </w:p>
    <w:p w14:paraId="3D55289C" w14:textId="2795CA13" w:rsidR="00906C09" w:rsidRPr="004F55B7" w:rsidRDefault="00906C09" w:rsidP="00906C09">
      <w:pPr>
        <w:keepNext/>
        <w:ind w:left="1702" w:hanging="851"/>
        <w:jc w:val="both"/>
        <w:rPr>
          <w:rFonts w:cs="Arial"/>
          <w:i/>
          <w:iCs/>
          <w:szCs w:val="24"/>
        </w:rPr>
      </w:pPr>
      <w:r w:rsidRPr="004F55B7">
        <w:rPr>
          <w:rFonts w:cs="Arial"/>
          <w:i/>
          <w:iCs/>
          <w:szCs w:val="24"/>
        </w:rPr>
        <w:t>Borough CIL (BCIL)</w:t>
      </w:r>
    </w:p>
    <w:p w14:paraId="363B8DE9" w14:textId="77777777" w:rsidR="00906C09" w:rsidRPr="004F55B7" w:rsidRDefault="00906C09" w:rsidP="00906C09">
      <w:pPr>
        <w:keepNext/>
        <w:ind w:left="851" w:hanging="851"/>
        <w:jc w:val="both"/>
        <w:rPr>
          <w:rFonts w:cs="Arial"/>
          <w:szCs w:val="24"/>
        </w:rPr>
      </w:pPr>
    </w:p>
    <w:p w14:paraId="0FFA5755" w14:textId="59D99ADE" w:rsidR="00FC0BCF" w:rsidRPr="002519A3" w:rsidRDefault="00906C09" w:rsidP="00B602B7">
      <w:pPr>
        <w:ind w:left="851" w:hanging="851"/>
        <w:jc w:val="both"/>
        <w:rPr>
          <w:rFonts w:eastAsia="Calibri" w:cs="Arial"/>
          <w:szCs w:val="24"/>
        </w:rPr>
      </w:pPr>
      <w:r w:rsidRPr="004F55B7">
        <w:rPr>
          <w:rFonts w:cs="Arial"/>
          <w:szCs w:val="24"/>
        </w:rPr>
        <w:t>5.1</w:t>
      </w:r>
      <w:r w:rsidRPr="004F55B7">
        <w:rPr>
          <w:rFonts w:cs="Arial"/>
          <w:szCs w:val="24"/>
        </w:rPr>
        <w:tab/>
      </w:r>
      <w:r w:rsidR="00FC0BCF" w:rsidRPr="002519A3">
        <w:rPr>
          <w:rFonts w:eastAsia="Calibri" w:cs="Arial"/>
          <w:szCs w:val="24"/>
        </w:rPr>
        <w:t xml:space="preserve">The allocation of the Borough Community Infrastructure Levy (BCIL) forms part of the Annual Budget Setting process and </w:t>
      </w:r>
      <w:r w:rsidR="00D830F3">
        <w:rPr>
          <w:rFonts w:eastAsia="Calibri" w:cs="Arial"/>
          <w:szCs w:val="24"/>
        </w:rPr>
        <w:t xml:space="preserve">is </w:t>
      </w:r>
      <w:r w:rsidR="00FC0BCF" w:rsidRPr="002519A3">
        <w:rPr>
          <w:rFonts w:eastAsia="Calibri" w:cs="Arial"/>
          <w:szCs w:val="24"/>
        </w:rPr>
        <w:t xml:space="preserve">included in the Capital Programme report which is presented to Cabinet every year in December (draft budget) and February (final budget). The allocation of </w:t>
      </w:r>
      <w:r w:rsidR="00FC0BCF" w:rsidRPr="002519A3">
        <w:rPr>
          <w:rFonts w:eastAsia="Calibri" w:cs="Arial"/>
          <w:szCs w:val="24"/>
        </w:rPr>
        <w:lastRenderedPageBreak/>
        <w:t xml:space="preserve">the Borough CIL is informed by the Harrow Local Plan, Infrastructure Delivery Plan, Corporate Priorities and external funding opportunities and has regard to the criteria outlined in the report considered by the Major Developments Panel and Cabinet (these largely reflect the CIL Regulations and </w:t>
      </w:r>
      <w:r w:rsidR="00496871">
        <w:rPr>
          <w:rFonts w:eastAsia="Calibri" w:cs="Arial"/>
          <w:szCs w:val="24"/>
        </w:rPr>
        <w:t xml:space="preserve">National </w:t>
      </w:r>
      <w:r w:rsidR="00FC0BCF" w:rsidRPr="002519A3">
        <w:rPr>
          <w:rFonts w:eastAsia="Calibri" w:cs="Arial"/>
          <w:szCs w:val="24"/>
        </w:rPr>
        <w:t>Planning Practice Guidance as to the purpose of CIL and how it should be spent).</w:t>
      </w:r>
    </w:p>
    <w:p w14:paraId="2C6B151E" w14:textId="1923E6FD" w:rsidR="00906C09" w:rsidRPr="004F55B7" w:rsidRDefault="00906C09" w:rsidP="00B602B7">
      <w:pPr>
        <w:ind w:left="851" w:hanging="851"/>
        <w:jc w:val="both"/>
        <w:rPr>
          <w:rFonts w:cs="Arial"/>
          <w:szCs w:val="24"/>
        </w:rPr>
      </w:pPr>
    </w:p>
    <w:p w14:paraId="11F5152C" w14:textId="14B32B7A" w:rsidR="00FC0BCF" w:rsidRPr="002519A3" w:rsidRDefault="00906C09" w:rsidP="00B602B7">
      <w:pPr>
        <w:ind w:left="851" w:hanging="851"/>
        <w:jc w:val="both"/>
        <w:rPr>
          <w:rFonts w:eastAsia="Calibri" w:cs="Arial"/>
          <w:szCs w:val="24"/>
        </w:rPr>
      </w:pPr>
      <w:r w:rsidRPr="004F55B7">
        <w:rPr>
          <w:rFonts w:cs="Arial"/>
          <w:szCs w:val="24"/>
        </w:rPr>
        <w:t>5.2</w:t>
      </w:r>
      <w:r w:rsidRPr="004F55B7">
        <w:rPr>
          <w:rFonts w:cs="Arial"/>
          <w:szCs w:val="24"/>
        </w:rPr>
        <w:tab/>
      </w:r>
      <w:r w:rsidR="00FC0BCF" w:rsidRPr="002519A3">
        <w:rPr>
          <w:rFonts w:eastAsia="Calibri" w:cs="Arial"/>
          <w:szCs w:val="24"/>
        </w:rPr>
        <w:t>The Council have already identified a number of CIL allocations for future financial years as part of the Capital Programme. These allocations are dependent on the Council having sufficient CIL receipts to cover planned expenditure</w:t>
      </w:r>
      <w:r w:rsidR="00D72103" w:rsidRPr="004F55B7">
        <w:rPr>
          <w:rFonts w:cs="Arial"/>
          <w:szCs w:val="24"/>
        </w:rPr>
        <w:t xml:space="preserve"> (see </w:t>
      </w:r>
      <w:r w:rsidR="00D72103" w:rsidRPr="00935CDD">
        <w:rPr>
          <w:rFonts w:cs="Arial"/>
          <w:szCs w:val="24"/>
        </w:rPr>
        <w:t xml:space="preserve">Appendix </w:t>
      </w:r>
      <w:r w:rsidR="00935CDD" w:rsidRPr="00935CDD">
        <w:rPr>
          <w:rFonts w:cs="Arial"/>
          <w:szCs w:val="24"/>
        </w:rPr>
        <w:t>C</w:t>
      </w:r>
      <w:r w:rsidR="00D72103" w:rsidRPr="00935CDD">
        <w:rPr>
          <w:rFonts w:cs="Arial"/>
          <w:szCs w:val="24"/>
        </w:rPr>
        <w:t>)</w:t>
      </w:r>
      <w:r w:rsidR="00FC0BCF" w:rsidRPr="00935CDD">
        <w:rPr>
          <w:rFonts w:cs="Arial"/>
          <w:szCs w:val="24"/>
        </w:rPr>
        <w:t>.</w:t>
      </w:r>
      <w:r w:rsidR="00FC0BCF" w:rsidRPr="002519A3">
        <w:rPr>
          <w:rFonts w:eastAsia="Calibri" w:cs="Arial"/>
          <w:szCs w:val="24"/>
        </w:rPr>
        <w:t xml:space="preserve"> </w:t>
      </w:r>
    </w:p>
    <w:p w14:paraId="4B3E598C" w14:textId="77777777" w:rsidR="00D72103" w:rsidRPr="004F55B7" w:rsidRDefault="00D72103" w:rsidP="00B602B7">
      <w:pPr>
        <w:ind w:left="851" w:hanging="851"/>
        <w:jc w:val="both"/>
        <w:rPr>
          <w:rFonts w:cs="Arial"/>
          <w:szCs w:val="24"/>
        </w:rPr>
      </w:pPr>
    </w:p>
    <w:p w14:paraId="0041B64E" w14:textId="514FD94E" w:rsidR="00D72103" w:rsidRPr="004F55B7" w:rsidRDefault="00D72103" w:rsidP="00F91233">
      <w:pPr>
        <w:keepNext/>
        <w:ind w:left="1702" w:hanging="851"/>
        <w:jc w:val="both"/>
        <w:rPr>
          <w:rFonts w:cs="Arial"/>
          <w:i/>
          <w:iCs/>
          <w:szCs w:val="24"/>
        </w:rPr>
      </w:pPr>
      <w:r w:rsidRPr="004F55B7">
        <w:rPr>
          <w:rFonts w:cs="Arial"/>
          <w:i/>
          <w:iCs/>
          <w:szCs w:val="24"/>
        </w:rPr>
        <w:t>Neighbourhood CIL</w:t>
      </w:r>
    </w:p>
    <w:p w14:paraId="2CC9E0CA" w14:textId="77777777" w:rsidR="00D72103" w:rsidRPr="004F55B7" w:rsidRDefault="00D72103" w:rsidP="00F91233">
      <w:pPr>
        <w:keepNext/>
        <w:ind w:left="851" w:hanging="851"/>
        <w:jc w:val="both"/>
        <w:rPr>
          <w:rFonts w:cs="Arial"/>
          <w:szCs w:val="24"/>
        </w:rPr>
      </w:pPr>
    </w:p>
    <w:p w14:paraId="023A02CB" w14:textId="1C8F224C" w:rsidR="00FC0BCF" w:rsidRPr="002519A3" w:rsidRDefault="00F91233" w:rsidP="00B602B7">
      <w:pPr>
        <w:ind w:left="851" w:hanging="851"/>
        <w:jc w:val="both"/>
        <w:rPr>
          <w:rFonts w:eastAsia="Calibri" w:cs="Arial"/>
          <w:szCs w:val="24"/>
        </w:rPr>
      </w:pPr>
      <w:r w:rsidRPr="004F55B7">
        <w:rPr>
          <w:rFonts w:cs="Arial"/>
          <w:szCs w:val="24"/>
        </w:rPr>
        <w:t>5.3</w:t>
      </w:r>
      <w:r w:rsidRPr="004F55B7">
        <w:rPr>
          <w:rFonts w:cs="Arial"/>
          <w:szCs w:val="24"/>
        </w:rPr>
        <w:tab/>
      </w:r>
      <w:r w:rsidR="00FC0BCF" w:rsidRPr="002519A3">
        <w:rPr>
          <w:rFonts w:eastAsia="Calibri" w:cs="Arial"/>
          <w:szCs w:val="24"/>
        </w:rPr>
        <w:t xml:space="preserve">NCIL represents the allocation of 15% of CIL receipts raised in each Ward back to the respective Ward in which it was generated (except where received from within </w:t>
      </w:r>
      <w:r w:rsidR="00FC0BCF" w:rsidRPr="00A03D6A">
        <w:rPr>
          <w:rFonts w:eastAsia="Calibri" w:cs="Arial"/>
          <w:szCs w:val="24"/>
        </w:rPr>
        <w:t>the geographical definition of the Harrow and Wealdstone Opportunity Area)</w:t>
      </w:r>
      <w:r w:rsidR="00A03D6A" w:rsidRPr="00A03D6A">
        <w:rPr>
          <w:rFonts w:eastAsia="Calibri" w:cs="Arial"/>
          <w:szCs w:val="24"/>
        </w:rPr>
        <w:t xml:space="preserve"> (note, this area is that covered by the Harrow and Wealdstone AAP and is not a</w:t>
      </w:r>
      <w:r w:rsidR="00A03D6A">
        <w:rPr>
          <w:rFonts w:eastAsia="Calibri" w:cs="Arial"/>
          <w:szCs w:val="24"/>
        </w:rPr>
        <w:t xml:space="preserve"> neighbourhood area)</w:t>
      </w:r>
      <w:r w:rsidR="00FC0BCF" w:rsidRPr="002519A3">
        <w:rPr>
          <w:rFonts w:eastAsia="Calibri" w:cs="Arial"/>
          <w:szCs w:val="24"/>
        </w:rPr>
        <w:t xml:space="preserve">. For CIL received within the geographical definition of the Harrow and Wealdstone Opportunity Area, NCIL involves the allocation of 15% of CIL receipts into a combined fund to be spent on projects across the entire area. This reflects that the area contains a greater proportion of the strategic development sites within the borough. </w:t>
      </w:r>
    </w:p>
    <w:p w14:paraId="2F73DADF" w14:textId="77777777" w:rsidR="00F91233" w:rsidRPr="004F55B7" w:rsidRDefault="00F91233" w:rsidP="00B602B7">
      <w:pPr>
        <w:ind w:left="851" w:hanging="851"/>
        <w:jc w:val="both"/>
        <w:rPr>
          <w:rFonts w:cs="Arial"/>
          <w:szCs w:val="24"/>
        </w:rPr>
      </w:pPr>
    </w:p>
    <w:p w14:paraId="0689D601" w14:textId="3AA375CA" w:rsidR="00FC0BCF" w:rsidRPr="002519A3" w:rsidRDefault="00F91233" w:rsidP="00B602B7">
      <w:pPr>
        <w:ind w:left="851" w:hanging="851"/>
        <w:jc w:val="both"/>
        <w:rPr>
          <w:rFonts w:eastAsia="Calibri" w:cs="Arial"/>
          <w:szCs w:val="24"/>
        </w:rPr>
      </w:pPr>
      <w:r w:rsidRPr="004F55B7">
        <w:rPr>
          <w:rFonts w:cs="Arial"/>
          <w:szCs w:val="24"/>
        </w:rPr>
        <w:t>5.4</w:t>
      </w:r>
      <w:r w:rsidRPr="004F55B7">
        <w:rPr>
          <w:rFonts w:cs="Arial"/>
          <w:szCs w:val="24"/>
        </w:rPr>
        <w:tab/>
      </w:r>
      <w:r w:rsidR="00FC0BCF" w:rsidRPr="002519A3">
        <w:rPr>
          <w:rFonts w:eastAsia="Calibri" w:cs="Arial"/>
          <w:szCs w:val="24"/>
        </w:rPr>
        <w:t xml:space="preserve">The broad allocation of Neighbourhood CIL is agreed as part of the Capital Programme (based on available funds at the time and allocated as noted above) and included in the Capital Programme report which is presented to Cabinet every year in December (draft budget) and February (final budget). Once the broad allocation of NCIL is agreed as part of the Capital Programme, individual projects put forward by the relevant Directorates / Ward Members are assessed against the criteria outlined in the report to the Major Development Panel / Cabinet (including the extent of consultation and level of community support). The final decision regarding which projects are funded from the agreed </w:t>
      </w:r>
      <w:r w:rsidR="00964BD0">
        <w:rPr>
          <w:rFonts w:eastAsia="Calibri" w:cs="Arial"/>
          <w:szCs w:val="24"/>
        </w:rPr>
        <w:t>N</w:t>
      </w:r>
      <w:r w:rsidR="00FC0BCF" w:rsidRPr="002519A3">
        <w:rPr>
          <w:rFonts w:eastAsia="Calibri" w:cs="Arial"/>
          <w:szCs w:val="24"/>
        </w:rPr>
        <w:t xml:space="preserve">CIL allocations is delegated to the Chief Planning Officer following consultation with the Portfolio Holders for Regeneration and Planning, and Finance and Commercialisation. </w:t>
      </w:r>
    </w:p>
    <w:p w14:paraId="207AF0B8" w14:textId="77777777" w:rsidR="001C11D9" w:rsidRPr="00F07F90" w:rsidRDefault="001C11D9" w:rsidP="00B602B7">
      <w:pPr>
        <w:ind w:left="851" w:hanging="851"/>
        <w:jc w:val="both"/>
        <w:rPr>
          <w:rFonts w:eastAsia="Calibri" w:cs="Arial"/>
          <w:szCs w:val="24"/>
        </w:rPr>
      </w:pPr>
    </w:p>
    <w:p w14:paraId="70E396F1" w14:textId="1F762C58" w:rsidR="00FC0BCF" w:rsidRPr="00FC0BCF" w:rsidRDefault="00D56FA1" w:rsidP="00D56FA1">
      <w:pPr>
        <w:pStyle w:val="Heading3"/>
        <w:keepNext/>
        <w:ind w:left="851" w:hanging="851"/>
        <w:rPr>
          <w:rFonts w:eastAsia="Calibri"/>
        </w:rPr>
      </w:pPr>
      <w:r w:rsidRPr="004F55B7">
        <w:rPr>
          <w:rFonts w:eastAsia="Calibri"/>
        </w:rPr>
        <w:t>6.0</w:t>
      </w:r>
      <w:r w:rsidRPr="004F55B7">
        <w:rPr>
          <w:rFonts w:eastAsia="Calibri"/>
        </w:rPr>
        <w:tab/>
        <w:t>Ward Boundaries</w:t>
      </w:r>
    </w:p>
    <w:p w14:paraId="159ADAA0" w14:textId="77777777" w:rsidR="00D56FA1" w:rsidRPr="004F55B7" w:rsidRDefault="00D56FA1" w:rsidP="00D56FA1">
      <w:pPr>
        <w:keepNext/>
        <w:ind w:left="851" w:hanging="851"/>
        <w:jc w:val="both"/>
        <w:rPr>
          <w:rFonts w:cs="Arial"/>
          <w:szCs w:val="24"/>
        </w:rPr>
      </w:pPr>
    </w:p>
    <w:p w14:paraId="66227D52" w14:textId="4091A109" w:rsidR="00FC0BCF" w:rsidRPr="002519A3" w:rsidRDefault="00D56FA1" w:rsidP="00B602B7">
      <w:pPr>
        <w:ind w:left="851" w:hanging="851"/>
        <w:jc w:val="both"/>
        <w:rPr>
          <w:rFonts w:eastAsia="Calibri" w:cs="Arial"/>
          <w:szCs w:val="24"/>
        </w:rPr>
      </w:pPr>
      <w:r w:rsidRPr="004F55B7">
        <w:rPr>
          <w:rFonts w:cs="Arial"/>
          <w:szCs w:val="24"/>
        </w:rPr>
        <w:t>6.1</w:t>
      </w:r>
      <w:r w:rsidRPr="004F55B7">
        <w:rPr>
          <w:rFonts w:cs="Arial"/>
          <w:szCs w:val="24"/>
        </w:rPr>
        <w:tab/>
      </w:r>
      <w:r w:rsidR="00FC0BCF" w:rsidRPr="002519A3">
        <w:rPr>
          <w:rFonts w:eastAsia="Calibri" w:cs="Arial"/>
          <w:szCs w:val="24"/>
        </w:rPr>
        <w:t xml:space="preserve">New ward boundaries were introduced at the May 2022 Council elections by the Boundary Commission, which require calibration with NCIL ward balances (based on the former wards / boundaries). The process for allocation of funds must align with ward boundaries. Initial steps have been made to aligning the allocations to ward boundaries through </w:t>
      </w:r>
      <w:r w:rsidR="00FC0BCF" w:rsidRPr="002519A3">
        <w:rPr>
          <w:rFonts w:eastAsia="Calibri" w:cs="Arial"/>
          <w:b/>
          <w:szCs w:val="24"/>
        </w:rPr>
        <w:t>land area</w:t>
      </w:r>
      <w:r w:rsidR="00FC0BCF" w:rsidRPr="002519A3">
        <w:rPr>
          <w:rFonts w:eastAsia="Calibri" w:cs="Arial"/>
          <w:szCs w:val="24"/>
        </w:rPr>
        <w:t xml:space="preserve">, as it was previously done. </w:t>
      </w:r>
      <w:r w:rsidR="00CA1C69" w:rsidRPr="002519A3">
        <w:rPr>
          <w:rFonts w:eastAsia="Calibri" w:cs="Arial"/>
          <w:szCs w:val="24"/>
        </w:rPr>
        <w:t xml:space="preserve">Consideration </w:t>
      </w:r>
      <w:r w:rsidR="00FC0BCF" w:rsidRPr="002519A3">
        <w:rPr>
          <w:rFonts w:eastAsia="Calibri" w:cs="Arial"/>
          <w:szCs w:val="24"/>
        </w:rPr>
        <w:t xml:space="preserve">is required to ascertain whether this method is the most appropriate way to </w:t>
      </w:r>
      <w:r w:rsidR="00CF749B" w:rsidRPr="002519A3">
        <w:rPr>
          <w:rFonts w:eastAsia="Calibri" w:cs="Arial"/>
          <w:szCs w:val="24"/>
        </w:rPr>
        <w:t>re-</w:t>
      </w:r>
      <w:r w:rsidR="00CA1C69" w:rsidRPr="002519A3">
        <w:rPr>
          <w:rFonts w:eastAsia="Calibri" w:cs="Arial"/>
          <w:szCs w:val="24"/>
        </w:rPr>
        <w:t>allocate receipts</w:t>
      </w:r>
      <w:r w:rsidR="00CF749B" w:rsidRPr="002519A3">
        <w:rPr>
          <w:rFonts w:eastAsia="Calibri" w:cs="Arial"/>
          <w:szCs w:val="24"/>
        </w:rPr>
        <w:t xml:space="preserve"> to the new wards</w:t>
      </w:r>
      <w:r w:rsidR="00A03D6A">
        <w:rPr>
          <w:rFonts w:eastAsia="Calibri" w:cs="Arial"/>
          <w:szCs w:val="24"/>
        </w:rPr>
        <w:t xml:space="preserve"> (for example, other boroughs use population)</w:t>
      </w:r>
      <w:r w:rsidR="00FC0BCF" w:rsidRPr="002519A3">
        <w:rPr>
          <w:rFonts w:eastAsia="Calibri" w:cs="Arial"/>
          <w:szCs w:val="24"/>
        </w:rPr>
        <w:t xml:space="preserve">. </w:t>
      </w:r>
    </w:p>
    <w:p w14:paraId="48BD0A09" w14:textId="77777777" w:rsidR="002519A3" w:rsidRPr="00F07F90" w:rsidRDefault="002519A3" w:rsidP="00B602B7">
      <w:pPr>
        <w:ind w:left="851" w:hanging="851"/>
        <w:jc w:val="both"/>
        <w:rPr>
          <w:rFonts w:eastAsia="Calibri" w:cs="Arial"/>
          <w:szCs w:val="24"/>
        </w:rPr>
      </w:pPr>
    </w:p>
    <w:p w14:paraId="542EA55A" w14:textId="2392F3D6" w:rsidR="00FC0BCF" w:rsidRPr="00FC0BCF" w:rsidRDefault="00437D5C" w:rsidP="004B722C">
      <w:pPr>
        <w:pStyle w:val="Heading3"/>
        <w:keepNext/>
        <w:ind w:left="851" w:hanging="851"/>
        <w:rPr>
          <w:rFonts w:eastAsia="Calibri"/>
        </w:rPr>
      </w:pPr>
      <w:r w:rsidRPr="004F55B7">
        <w:rPr>
          <w:rFonts w:eastAsia="Calibri"/>
        </w:rPr>
        <w:t>7.0</w:t>
      </w:r>
      <w:r w:rsidRPr="004F55B7">
        <w:rPr>
          <w:rFonts w:eastAsia="Calibri"/>
        </w:rPr>
        <w:tab/>
        <w:t xml:space="preserve">Best Practice </w:t>
      </w:r>
    </w:p>
    <w:p w14:paraId="294000D1" w14:textId="77777777" w:rsidR="004B722C" w:rsidRPr="004F55B7" w:rsidRDefault="004B722C" w:rsidP="004B722C">
      <w:pPr>
        <w:keepNext/>
        <w:rPr>
          <w:rFonts w:eastAsia="Calibri"/>
        </w:rPr>
      </w:pPr>
    </w:p>
    <w:p w14:paraId="1C8A637C" w14:textId="6F2AA2A7" w:rsidR="00FC0BCF" w:rsidRPr="002519A3" w:rsidRDefault="004B722C" w:rsidP="00B602B7">
      <w:pPr>
        <w:ind w:left="851" w:hanging="851"/>
        <w:jc w:val="both"/>
        <w:rPr>
          <w:rFonts w:eastAsia="Calibri" w:cs="Arial"/>
          <w:szCs w:val="24"/>
        </w:rPr>
      </w:pPr>
      <w:r w:rsidRPr="004F55B7">
        <w:rPr>
          <w:rFonts w:cs="Arial"/>
          <w:szCs w:val="24"/>
        </w:rPr>
        <w:t>7.1</w:t>
      </w:r>
      <w:r w:rsidRPr="004F55B7">
        <w:rPr>
          <w:rFonts w:cs="Arial"/>
          <w:szCs w:val="24"/>
        </w:rPr>
        <w:tab/>
      </w:r>
      <w:r w:rsidR="00FC0BCF" w:rsidRPr="002519A3">
        <w:rPr>
          <w:rFonts w:eastAsia="Calibri" w:cs="Arial"/>
          <w:szCs w:val="24"/>
        </w:rPr>
        <w:t>The CIL allocation review should take account of current best practice, particularly concerning the scope of projects which can utilise NCIL and engagement methods for NCIL allocation. A thorough review of best practice CIL allocation processes will be undertaken to inform the review</w:t>
      </w:r>
      <w:r w:rsidR="00A51F54" w:rsidRPr="002519A3">
        <w:rPr>
          <w:rFonts w:eastAsia="Calibri" w:cs="Arial"/>
          <w:szCs w:val="24"/>
        </w:rPr>
        <w:t xml:space="preserve"> and subsequent recommendations to the Panel </w:t>
      </w:r>
      <w:r w:rsidR="00FF6EDA">
        <w:rPr>
          <w:rFonts w:eastAsia="Calibri" w:cs="Arial"/>
          <w:szCs w:val="24"/>
        </w:rPr>
        <w:t>and</w:t>
      </w:r>
      <w:r w:rsidR="00A51F54" w:rsidRPr="002519A3">
        <w:rPr>
          <w:rFonts w:eastAsia="Calibri" w:cs="Arial"/>
          <w:szCs w:val="24"/>
        </w:rPr>
        <w:t xml:space="preserve"> Cabinet</w:t>
      </w:r>
      <w:r w:rsidR="00FC0BCF" w:rsidRPr="002519A3">
        <w:rPr>
          <w:rFonts w:eastAsia="Calibri" w:cs="Arial"/>
          <w:szCs w:val="24"/>
        </w:rPr>
        <w:t xml:space="preserve">. </w:t>
      </w:r>
    </w:p>
    <w:p w14:paraId="1EAC2857" w14:textId="77777777" w:rsidR="004B722C" w:rsidRPr="004F55B7" w:rsidRDefault="004B722C" w:rsidP="00B602B7">
      <w:pPr>
        <w:ind w:left="851" w:hanging="851"/>
        <w:jc w:val="both"/>
        <w:rPr>
          <w:rFonts w:cs="Arial"/>
          <w:szCs w:val="24"/>
        </w:rPr>
      </w:pPr>
    </w:p>
    <w:p w14:paraId="04175435" w14:textId="0A8EC0FE" w:rsidR="00FC0BCF" w:rsidRPr="002519A3" w:rsidRDefault="004B722C" w:rsidP="00B602B7">
      <w:pPr>
        <w:ind w:left="851" w:hanging="851"/>
        <w:jc w:val="both"/>
        <w:rPr>
          <w:rFonts w:eastAsia="Calibri" w:cs="Arial"/>
          <w:szCs w:val="24"/>
        </w:rPr>
      </w:pPr>
      <w:r w:rsidRPr="004F55B7">
        <w:rPr>
          <w:rFonts w:cs="Arial"/>
          <w:szCs w:val="24"/>
        </w:rPr>
        <w:t>7.2</w:t>
      </w:r>
      <w:r w:rsidRPr="004F55B7">
        <w:rPr>
          <w:rFonts w:cs="Arial"/>
          <w:szCs w:val="24"/>
        </w:rPr>
        <w:tab/>
      </w:r>
      <w:r w:rsidR="00FC0BCF" w:rsidRPr="002519A3">
        <w:rPr>
          <w:rFonts w:eastAsia="Calibri" w:cs="Arial"/>
          <w:szCs w:val="24"/>
        </w:rPr>
        <w:t xml:space="preserve">Many best practice boroughs utilise online engagement platforms like Engagement HQ or Commonplace to consult the community directly about what they would like to spend NCIL on. This requires little officer time to set up and can be an excellent way to empower citizens to put forward projects that they are passionate about. Typically, best practice creates new NCIL areas which are larger than wards to allocate funds. An example of Best Practice is attached at Appendix </w:t>
      </w:r>
      <w:r w:rsidRPr="004F55B7">
        <w:rPr>
          <w:rFonts w:cs="Arial"/>
          <w:szCs w:val="24"/>
        </w:rPr>
        <w:t>D</w:t>
      </w:r>
      <w:r w:rsidR="00FC0BCF" w:rsidRPr="002519A3">
        <w:rPr>
          <w:rFonts w:eastAsia="Calibri" w:cs="Arial"/>
          <w:szCs w:val="24"/>
        </w:rPr>
        <w:t>.</w:t>
      </w:r>
    </w:p>
    <w:p w14:paraId="4AE9795A" w14:textId="77777777" w:rsidR="002519A3" w:rsidRPr="00F07F90" w:rsidRDefault="002519A3" w:rsidP="00B602B7">
      <w:pPr>
        <w:ind w:left="851" w:hanging="851"/>
        <w:jc w:val="both"/>
        <w:rPr>
          <w:rFonts w:eastAsia="Calibri" w:cs="Arial"/>
          <w:szCs w:val="24"/>
        </w:rPr>
      </w:pPr>
    </w:p>
    <w:p w14:paraId="45E187F9" w14:textId="3447ADD6" w:rsidR="002519A3" w:rsidRPr="002519A3" w:rsidRDefault="00132F6D" w:rsidP="00132F6D">
      <w:pPr>
        <w:pStyle w:val="Heading3"/>
        <w:keepNext/>
        <w:ind w:left="851" w:hanging="851"/>
        <w:rPr>
          <w:rFonts w:eastAsia="Calibri"/>
        </w:rPr>
      </w:pPr>
      <w:r w:rsidRPr="00987B99">
        <w:rPr>
          <w:rFonts w:eastAsia="Calibri"/>
        </w:rPr>
        <w:t>8.0</w:t>
      </w:r>
      <w:r w:rsidRPr="00987B99">
        <w:rPr>
          <w:rFonts w:eastAsia="Calibri"/>
        </w:rPr>
        <w:tab/>
        <w:t xml:space="preserve">Current CIL Charging Schedule </w:t>
      </w:r>
    </w:p>
    <w:p w14:paraId="74B3C4D1" w14:textId="77777777" w:rsidR="00132F6D" w:rsidRPr="00987B99" w:rsidRDefault="00132F6D" w:rsidP="00132F6D">
      <w:pPr>
        <w:keepNext/>
        <w:ind w:left="851" w:hanging="851"/>
        <w:jc w:val="both"/>
        <w:rPr>
          <w:rFonts w:cs="Arial"/>
          <w:sz w:val="28"/>
          <w:szCs w:val="28"/>
        </w:rPr>
      </w:pPr>
    </w:p>
    <w:p w14:paraId="1CDF84E9" w14:textId="51AEC632" w:rsidR="00FC0BCF" w:rsidRPr="002519A3" w:rsidRDefault="00132F6D" w:rsidP="00B602B7">
      <w:pPr>
        <w:ind w:left="851" w:hanging="851"/>
        <w:jc w:val="both"/>
        <w:rPr>
          <w:rFonts w:eastAsia="Calibri" w:cs="Arial"/>
          <w:szCs w:val="24"/>
        </w:rPr>
      </w:pPr>
      <w:r w:rsidRPr="004F55B7">
        <w:rPr>
          <w:rFonts w:cs="Arial"/>
          <w:szCs w:val="24"/>
        </w:rPr>
        <w:t>8.1</w:t>
      </w:r>
      <w:r w:rsidRPr="004F55B7">
        <w:rPr>
          <w:rFonts w:cs="Arial"/>
          <w:szCs w:val="24"/>
        </w:rPr>
        <w:tab/>
      </w:r>
      <w:r w:rsidR="00FC0BCF" w:rsidRPr="002519A3">
        <w:rPr>
          <w:rFonts w:eastAsia="Calibri" w:cs="Arial"/>
          <w:szCs w:val="24"/>
        </w:rPr>
        <w:t>Harrow’s current Charging Schedule came into effect on 1 October 2013. By way of comparison, most West London boroughs adopted their first / current schedules at around the same time (Brent – July 2013, Barnet – May 2013, Hammersmith and Fulham – September 2015, Hillingdon – September 2014 and Hounslow – July 2014). Ealing has not adopted a CIL charging schedule but is progressing one. Barnet is the only West London bo</w:t>
      </w:r>
      <w:r w:rsidR="00A51CC2">
        <w:rPr>
          <w:rFonts w:eastAsia="Calibri" w:cs="Arial"/>
          <w:szCs w:val="24"/>
        </w:rPr>
        <w:t>ro</w:t>
      </w:r>
      <w:r w:rsidR="00FC0BCF" w:rsidRPr="002519A3">
        <w:rPr>
          <w:rFonts w:eastAsia="Calibri" w:cs="Arial"/>
          <w:szCs w:val="24"/>
        </w:rPr>
        <w:t xml:space="preserve">ugh to have adopted a new (second) charging schedule, doing so in March 2022. </w:t>
      </w:r>
    </w:p>
    <w:p w14:paraId="2FA9B60D" w14:textId="77777777" w:rsidR="00132F6D" w:rsidRPr="004F55B7" w:rsidRDefault="00132F6D" w:rsidP="00B602B7">
      <w:pPr>
        <w:ind w:left="851" w:hanging="851"/>
        <w:jc w:val="both"/>
        <w:rPr>
          <w:rFonts w:cs="Arial"/>
          <w:szCs w:val="24"/>
        </w:rPr>
      </w:pPr>
    </w:p>
    <w:p w14:paraId="45FAA12E" w14:textId="6000E152" w:rsidR="00FC0BCF" w:rsidRPr="002519A3" w:rsidRDefault="00132F6D" w:rsidP="00B602B7">
      <w:pPr>
        <w:ind w:left="851" w:hanging="851"/>
        <w:jc w:val="both"/>
        <w:rPr>
          <w:rFonts w:eastAsia="Calibri" w:cs="Arial"/>
          <w:szCs w:val="24"/>
        </w:rPr>
      </w:pPr>
      <w:r w:rsidRPr="004F55B7">
        <w:rPr>
          <w:rFonts w:cs="Arial"/>
          <w:szCs w:val="24"/>
        </w:rPr>
        <w:t>8.</w:t>
      </w:r>
      <w:r w:rsidR="0084137B" w:rsidRPr="004F55B7">
        <w:rPr>
          <w:rFonts w:cs="Arial"/>
          <w:szCs w:val="24"/>
        </w:rPr>
        <w:t>2</w:t>
      </w:r>
      <w:r w:rsidRPr="004F55B7">
        <w:rPr>
          <w:rFonts w:cs="Arial"/>
          <w:szCs w:val="24"/>
        </w:rPr>
        <w:tab/>
      </w:r>
      <w:r w:rsidR="00FC0BCF" w:rsidRPr="002519A3">
        <w:rPr>
          <w:rFonts w:eastAsia="Calibri" w:cs="Arial"/>
          <w:szCs w:val="24"/>
        </w:rPr>
        <w:t>Whilst the Harrow schedule was adopted in 2013, the rates are subject to indexation (based on RICS construction costs) which currently adds circa 50% to the original charges. In setting charging schedules, rates cannot be set at levels that make development unviable. This is tested through detailed development viability appraisals and subject to independent examination. The viability appraisals need to reflect any Local Plan requirements and therefore preparation of a new charging schedule typically occurs in parallel with the Local Plans process so as to reflect any new policy requirements in the emerging Local Plan.</w:t>
      </w:r>
    </w:p>
    <w:p w14:paraId="56C448BA" w14:textId="77777777" w:rsidR="002519A3" w:rsidRPr="00F07F90" w:rsidRDefault="002519A3" w:rsidP="00B602B7">
      <w:pPr>
        <w:ind w:left="851" w:hanging="851"/>
        <w:jc w:val="both"/>
        <w:rPr>
          <w:rFonts w:eastAsia="Calibri" w:cs="Arial"/>
          <w:szCs w:val="24"/>
        </w:rPr>
      </w:pPr>
    </w:p>
    <w:p w14:paraId="3B0646F1" w14:textId="386A7A4A" w:rsidR="00FC0BCF" w:rsidRPr="000C740B" w:rsidRDefault="0084137B" w:rsidP="00E03BF4">
      <w:pPr>
        <w:pStyle w:val="Heading3"/>
        <w:keepNext/>
        <w:ind w:left="851" w:hanging="851"/>
        <w:rPr>
          <w:rFonts w:eastAsia="Calibri"/>
        </w:rPr>
      </w:pPr>
      <w:r w:rsidRPr="00987B99">
        <w:rPr>
          <w:rFonts w:eastAsia="Calibri"/>
        </w:rPr>
        <w:t>9.0</w:t>
      </w:r>
      <w:r w:rsidRPr="00987B99">
        <w:rPr>
          <w:rFonts w:eastAsia="Calibri"/>
        </w:rPr>
        <w:tab/>
        <w:t>Programme</w:t>
      </w:r>
    </w:p>
    <w:p w14:paraId="6D9C8B16" w14:textId="77777777" w:rsidR="0084137B" w:rsidRPr="00987B99" w:rsidRDefault="0084137B" w:rsidP="00E03BF4">
      <w:pPr>
        <w:keepNext/>
        <w:ind w:left="851" w:hanging="851"/>
        <w:jc w:val="both"/>
        <w:rPr>
          <w:rFonts w:cs="Arial"/>
          <w:sz w:val="28"/>
          <w:szCs w:val="28"/>
        </w:rPr>
      </w:pPr>
    </w:p>
    <w:p w14:paraId="7ADC4E3C" w14:textId="38F64ACD" w:rsidR="00FC0BCF" w:rsidRPr="002519A3" w:rsidRDefault="0084137B" w:rsidP="00B602B7">
      <w:pPr>
        <w:ind w:left="851" w:hanging="851"/>
        <w:jc w:val="both"/>
        <w:rPr>
          <w:rFonts w:eastAsia="Calibri" w:cs="Arial"/>
          <w:szCs w:val="24"/>
        </w:rPr>
      </w:pPr>
      <w:r w:rsidRPr="004F55B7">
        <w:rPr>
          <w:rFonts w:cs="Arial"/>
          <w:szCs w:val="24"/>
        </w:rPr>
        <w:t>9.1</w:t>
      </w:r>
      <w:r w:rsidRPr="004F55B7">
        <w:rPr>
          <w:rFonts w:cs="Arial"/>
          <w:szCs w:val="24"/>
        </w:rPr>
        <w:tab/>
      </w:r>
      <w:r w:rsidR="00FC0BCF" w:rsidRPr="002519A3">
        <w:rPr>
          <w:rFonts w:eastAsia="Calibri" w:cs="Arial"/>
          <w:szCs w:val="24"/>
        </w:rPr>
        <w:t xml:space="preserve">The </w:t>
      </w:r>
      <w:r w:rsidR="002551E9">
        <w:rPr>
          <w:rFonts w:eastAsia="Calibri" w:cs="Arial"/>
          <w:szCs w:val="24"/>
        </w:rPr>
        <w:t>review</w:t>
      </w:r>
      <w:r w:rsidR="00FC0BCF" w:rsidRPr="002519A3">
        <w:rPr>
          <w:rFonts w:eastAsia="Calibri" w:cs="Arial"/>
          <w:szCs w:val="24"/>
        </w:rPr>
        <w:t xml:space="preserve"> has commenced and is in its first phase which seeks guidance from Members and council departments to set the scope of the review. The review will require a draft to be completed in November 2022 to align with the release of the latest iteration of the Infrastructure Funding Statement. </w:t>
      </w:r>
    </w:p>
    <w:p w14:paraId="27AF9CC6" w14:textId="77777777" w:rsidR="0084137B" w:rsidRPr="007E3F35" w:rsidRDefault="0084137B" w:rsidP="0084137B">
      <w:pPr>
        <w:ind w:left="1701" w:hanging="851"/>
        <w:jc w:val="both"/>
        <w:rPr>
          <w:rFonts w:cs="Arial"/>
          <w:szCs w:val="24"/>
        </w:rPr>
      </w:pPr>
    </w:p>
    <w:p w14:paraId="70B246F6" w14:textId="3B5266FE" w:rsidR="00FC0BCF" w:rsidRPr="007E3F35" w:rsidRDefault="0084137B" w:rsidP="0084137B">
      <w:pPr>
        <w:ind w:left="1701" w:hanging="851"/>
        <w:jc w:val="both"/>
        <w:rPr>
          <w:rFonts w:eastAsia="Calibri" w:cs="Arial"/>
          <w:szCs w:val="24"/>
        </w:rPr>
      </w:pPr>
      <w:r w:rsidRPr="007E3F35">
        <w:rPr>
          <w:rFonts w:cs="Arial"/>
          <w:szCs w:val="24"/>
        </w:rPr>
        <w:t>(a)</w:t>
      </w:r>
      <w:r w:rsidRPr="007E3F35">
        <w:rPr>
          <w:rFonts w:cs="Arial"/>
          <w:szCs w:val="24"/>
        </w:rPr>
        <w:tab/>
      </w:r>
      <w:r w:rsidR="00FC0BCF" w:rsidRPr="007E3F35">
        <w:rPr>
          <w:rFonts w:eastAsia="Calibri" w:cs="Arial"/>
          <w:szCs w:val="24"/>
        </w:rPr>
        <w:t>Phase 1: Consultation with Members and Council departments (</w:t>
      </w:r>
      <w:r w:rsidR="00E02BC8" w:rsidRPr="007E3F35">
        <w:rPr>
          <w:rFonts w:eastAsia="Calibri" w:cs="Arial"/>
          <w:szCs w:val="24"/>
        </w:rPr>
        <w:t xml:space="preserve">Sept-October </w:t>
      </w:r>
      <w:r w:rsidR="00FC0BCF" w:rsidRPr="007E3F35">
        <w:rPr>
          <w:rFonts w:eastAsia="Calibri" w:cs="Arial"/>
          <w:szCs w:val="24"/>
        </w:rPr>
        <w:t>2022)</w:t>
      </w:r>
    </w:p>
    <w:p w14:paraId="02592C41" w14:textId="5E99011D" w:rsidR="00FC0BCF" w:rsidRPr="007E3F35" w:rsidRDefault="0084137B" w:rsidP="0084137B">
      <w:pPr>
        <w:ind w:left="1701" w:hanging="851"/>
        <w:jc w:val="both"/>
        <w:rPr>
          <w:rFonts w:eastAsia="Calibri" w:cs="Arial"/>
          <w:szCs w:val="24"/>
        </w:rPr>
      </w:pPr>
      <w:r w:rsidRPr="007E3F35">
        <w:rPr>
          <w:rFonts w:cs="Arial"/>
          <w:szCs w:val="24"/>
        </w:rPr>
        <w:t>(b)</w:t>
      </w:r>
      <w:r w:rsidRPr="007E3F35">
        <w:rPr>
          <w:rFonts w:cs="Arial"/>
          <w:szCs w:val="24"/>
        </w:rPr>
        <w:tab/>
      </w:r>
      <w:r w:rsidR="00FC0BCF" w:rsidRPr="007E3F35">
        <w:rPr>
          <w:rFonts w:eastAsia="Calibri" w:cs="Arial"/>
          <w:szCs w:val="24"/>
        </w:rPr>
        <w:t>Phase 2: Review S106 balances and expiration dates, undertake a CIL income forecast (September</w:t>
      </w:r>
      <w:r w:rsidR="00E02BC8" w:rsidRPr="007E3F35">
        <w:rPr>
          <w:rFonts w:eastAsia="Calibri" w:cs="Arial"/>
          <w:szCs w:val="24"/>
        </w:rPr>
        <w:t xml:space="preserve">-October </w:t>
      </w:r>
      <w:r w:rsidR="00FC0BCF" w:rsidRPr="007E3F35">
        <w:rPr>
          <w:rFonts w:eastAsia="Calibri" w:cs="Arial"/>
          <w:szCs w:val="24"/>
        </w:rPr>
        <w:t>2022)</w:t>
      </w:r>
    </w:p>
    <w:p w14:paraId="320367D8" w14:textId="2E20022D" w:rsidR="00FC0BCF" w:rsidRPr="007E3F35" w:rsidRDefault="0084137B" w:rsidP="0084137B">
      <w:pPr>
        <w:ind w:left="1701" w:hanging="851"/>
        <w:jc w:val="both"/>
        <w:rPr>
          <w:rFonts w:eastAsia="Calibri" w:cs="Arial"/>
          <w:szCs w:val="24"/>
        </w:rPr>
      </w:pPr>
      <w:r w:rsidRPr="007E3F35">
        <w:rPr>
          <w:rFonts w:cs="Arial"/>
          <w:szCs w:val="24"/>
        </w:rPr>
        <w:lastRenderedPageBreak/>
        <w:t>(c)</w:t>
      </w:r>
      <w:r w:rsidRPr="007E3F35">
        <w:rPr>
          <w:rFonts w:cs="Arial"/>
          <w:szCs w:val="24"/>
        </w:rPr>
        <w:tab/>
      </w:r>
      <w:r w:rsidR="00FC0BCF" w:rsidRPr="007E3F35">
        <w:rPr>
          <w:rFonts w:eastAsia="Calibri" w:cs="Arial"/>
          <w:szCs w:val="24"/>
        </w:rPr>
        <w:t xml:space="preserve">Phase 3: </w:t>
      </w:r>
      <w:r w:rsidR="00A03D6A">
        <w:rPr>
          <w:rFonts w:eastAsia="Calibri" w:cs="Arial"/>
          <w:szCs w:val="24"/>
        </w:rPr>
        <w:t>Develop proposals to r</w:t>
      </w:r>
      <w:r w:rsidR="00FC0BCF" w:rsidRPr="007E3F35">
        <w:rPr>
          <w:rFonts w:eastAsia="Calibri" w:cs="Arial"/>
          <w:szCs w:val="24"/>
        </w:rPr>
        <w:t>ealign NCIL balances to new ward boundaries (</w:t>
      </w:r>
      <w:r w:rsidR="00B04452" w:rsidRPr="007E3F35">
        <w:rPr>
          <w:rFonts w:eastAsia="Calibri" w:cs="Arial"/>
          <w:szCs w:val="24"/>
        </w:rPr>
        <w:t>October</w:t>
      </w:r>
      <w:r w:rsidR="00FC0BCF" w:rsidRPr="007E3F35">
        <w:rPr>
          <w:rFonts w:eastAsia="Calibri" w:cs="Arial"/>
          <w:szCs w:val="24"/>
        </w:rPr>
        <w:t xml:space="preserve"> 2022)</w:t>
      </w:r>
    </w:p>
    <w:p w14:paraId="47B3A615" w14:textId="2010FEFF" w:rsidR="00FC0BCF" w:rsidRPr="007E3F35" w:rsidRDefault="0084137B" w:rsidP="0084137B">
      <w:pPr>
        <w:ind w:left="1701" w:hanging="851"/>
        <w:jc w:val="both"/>
        <w:rPr>
          <w:rFonts w:eastAsia="Calibri" w:cs="Arial"/>
          <w:szCs w:val="24"/>
        </w:rPr>
      </w:pPr>
      <w:r w:rsidRPr="007E3F35">
        <w:rPr>
          <w:rFonts w:cs="Arial"/>
          <w:szCs w:val="24"/>
        </w:rPr>
        <w:t>(d)</w:t>
      </w:r>
      <w:r w:rsidRPr="007E3F35">
        <w:rPr>
          <w:rFonts w:cs="Arial"/>
          <w:szCs w:val="24"/>
        </w:rPr>
        <w:tab/>
      </w:r>
      <w:r w:rsidR="00FC0BCF" w:rsidRPr="007E3F35">
        <w:rPr>
          <w:rFonts w:eastAsia="Calibri" w:cs="Arial"/>
          <w:szCs w:val="24"/>
        </w:rPr>
        <w:t>Phase 4: Draft new CIL allocation processes (</w:t>
      </w:r>
      <w:r w:rsidR="00B04452" w:rsidRPr="007E3F35">
        <w:rPr>
          <w:rFonts w:eastAsia="Calibri" w:cs="Arial"/>
          <w:szCs w:val="24"/>
        </w:rPr>
        <w:t>November</w:t>
      </w:r>
      <w:r w:rsidR="00FC0BCF" w:rsidRPr="007E3F35">
        <w:rPr>
          <w:rFonts w:eastAsia="Calibri" w:cs="Arial"/>
          <w:szCs w:val="24"/>
        </w:rPr>
        <w:t xml:space="preserve"> 2022)</w:t>
      </w:r>
    </w:p>
    <w:p w14:paraId="51F75197" w14:textId="0D4DD503" w:rsidR="00FC0BCF" w:rsidRPr="002519A3" w:rsidRDefault="0084137B" w:rsidP="0084137B">
      <w:pPr>
        <w:ind w:left="1701" w:hanging="851"/>
        <w:jc w:val="both"/>
        <w:rPr>
          <w:rFonts w:eastAsia="Calibri" w:cs="Arial"/>
          <w:szCs w:val="24"/>
        </w:rPr>
      </w:pPr>
      <w:r w:rsidRPr="007E3F35">
        <w:rPr>
          <w:rFonts w:cs="Arial"/>
          <w:szCs w:val="24"/>
        </w:rPr>
        <w:t>(e)</w:t>
      </w:r>
      <w:r w:rsidRPr="007E3F35">
        <w:rPr>
          <w:rFonts w:cs="Arial"/>
          <w:szCs w:val="24"/>
        </w:rPr>
        <w:tab/>
      </w:r>
      <w:r w:rsidR="00FC0BCF" w:rsidRPr="007E3F35">
        <w:rPr>
          <w:rFonts w:eastAsia="Calibri" w:cs="Arial"/>
          <w:szCs w:val="24"/>
        </w:rPr>
        <w:t>Phase 5: Adopt new CIL allocation processes. (</w:t>
      </w:r>
      <w:r w:rsidR="00B04452" w:rsidRPr="007E3F35">
        <w:rPr>
          <w:rFonts w:eastAsia="Calibri" w:cs="Arial"/>
          <w:szCs w:val="24"/>
        </w:rPr>
        <w:t>November-December</w:t>
      </w:r>
      <w:r w:rsidR="00FC0BCF" w:rsidRPr="007E3F35">
        <w:rPr>
          <w:rFonts w:eastAsia="Calibri" w:cs="Arial"/>
          <w:szCs w:val="24"/>
        </w:rPr>
        <w:t xml:space="preserve"> 2022)</w:t>
      </w:r>
    </w:p>
    <w:p w14:paraId="386B9A82" w14:textId="77777777" w:rsidR="0084137B" w:rsidRPr="004F55B7" w:rsidRDefault="0084137B" w:rsidP="00B602B7">
      <w:pPr>
        <w:ind w:left="851" w:hanging="851"/>
        <w:jc w:val="both"/>
        <w:rPr>
          <w:rFonts w:cs="Arial"/>
          <w:szCs w:val="24"/>
        </w:rPr>
      </w:pPr>
    </w:p>
    <w:p w14:paraId="1C095F5E" w14:textId="5BA05DC2" w:rsidR="00B43190" w:rsidRPr="002519A3" w:rsidRDefault="0084137B" w:rsidP="00B602B7">
      <w:pPr>
        <w:ind w:left="851" w:hanging="851"/>
        <w:jc w:val="both"/>
        <w:rPr>
          <w:rFonts w:eastAsia="Calibri" w:cs="Arial"/>
          <w:szCs w:val="24"/>
        </w:rPr>
      </w:pPr>
      <w:r w:rsidRPr="004F55B7">
        <w:rPr>
          <w:rFonts w:cs="Arial"/>
          <w:szCs w:val="24"/>
        </w:rPr>
        <w:t>9.2</w:t>
      </w:r>
      <w:r w:rsidRPr="004F55B7">
        <w:rPr>
          <w:rFonts w:cs="Arial"/>
          <w:szCs w:val="24"/>
        </w:rPr>
        <w:tab/>
      </w:r>
      <w:r w:rsidR="001E1BCC" w:rsidRPr="002519A3">
        <w:rPr>
          <w:rFonts w:eastAsia="Calibri" w:cs="Arial"/>
          <w:szCs w:val="24"/>
        </w:rPr>
        <w:t xml:space="preserve">In the interim, whilst </w:t>
      </w:r>
      <w:r w:rsidR="007447DB" w:rsidRPr="002519A3">
        <w:rPr>
          <w:rFonts w:eastAsia="Calibri" w:cs="Arial"/>
          <w:szCs w:val="24"/>
        </w:rPr>
        <w:t>the review is being undertaken (including agreeing a process of re-allocating NCIL balances from former wards to new wards</w:t>
      </w:r>
      <w:r w:rsidR="00814DCD">
        <w:rPr>
          <w:rFonts w:eastAsia="Calibri" w:cs="Arial"/>
          <w:szCs w:val="24"/>
        </w:rPr>
        <w:t>)</w:t>
      </w:r>
      <w:r w:rsidR="007447DB" w:rsidRPr="002519A3">
        <w:rPr>
          <w:rFonts w:eastAsia="Calibri" w:cs="Arial"/>
          <w:szCs w:val="24"/>
        </w:rPr>
        <w:t>, there is a</w:t>
      </w:r>
      <w:r w:rsidR="003F69A1" w:rsidRPr="002519A3">
        <w:rPr>
          <w:rFonts w:eastAsia="Calibri" w:cs="Arial"/>
          <w:szCs w:val="24"/>
        </w:rPr>
        <w:t xml:space="preserve"> moratorium on the consideration of new applications for NCIL funding.</w:t>
      </w:r>
    </w:p>
    <w:p w14:paraId="22F9E4E5" w14:textId="77777777" w:rsidR="002519A3" w:rsidRPr="00F07F90" w:rsidRDefault="002519A3" w:rsidP="00B602B7">
      <w:pPr>
        <w:ind w:left="851" w:hanging="851"/>
        <w:jc w:val="both"/>
        <w:rPr>
          <w:rFonts w:eastAsia="Calibri" w:cs="Arial"/>
          <w:szCs w:val="24"/>
        </w:rPr>
      </w:pPr>
    </w:p>
    <w:p w14:paraId="0703E217" w14:textId="3239B9AA" w:rsidR="00711754" w:rsidRPr="0057438D" w:rsidRDefault="00711754" w:rsidP="00865FC9">
      <w:pPr>
        <w:pStyle w:val="Footer"/>
        <w:tabs>
          <w:tab w:val="left" w:pos="0"/>
        </w:tabs>
        <w:jc w:val="both"/>
        <w:rPr>
          <w:rFonts w:cs="Arial"/>
          <w:lang w:val="en-GB"/>
        </w:rPr>
      </w:pPr>
      <w:r w:rsidRPr="004F55B7">
        <w:rPr>
          <w:rFonts w:cs="Arial"/>
          <w:b/>
          <w:lang w:val="en-GB"/>
        </w:rPr>
        <w:t xml:space="preserve">Ward Councillors’ comments </w:t>
      </w:r>
      <w:r w:rsidRPr="004F55B7">
        <w:rPr>
          <w:rFonts w:cs="Arial"/>
          <w:lang w:val="en-GB"/>
        </w:rPr>
        <w:t>– no</w:t>
      </w:r>
      <w:r w:rsidR="00044422" w:rsidRPr="004F55B7">
        <w:rPr>
          <w:rFonts w:cs="Arial"/>
          <w:lang w:val="en-GB"/>
        </w:rPr>
        <w:t xml:space="preserve">ne sought as report </w:t>
      </w:r>
      <w:r w:rsidR="00813D86">
        <w:rPr>
          <w:rFonts w:cs="Arial"/>
          <w:lang w:val="en-GB"/>
        </w:rPr>
        <w:t xml:space="preserve">is for </w:t>
      </w:r>
      <w:r w:rsidR="00044422" w:rsidRPr="004F55B7">
        <w:rPr>
          <w:rFonts w:cs="Arial"/>
          <w:lang w:val="en-GB"/>
        </w:rPr>
        <w:t xml:space="preserve">information </w:t>
      </w:r>
      <w:r w:rsidR="00813D86">
        <w:rPr>
          <w:rFonts w:cs="Arial"/>
          <w:lang w:val="en-GB"/>
        </w:rPr>
        <w:t>purposes</w:t>
      </w:r>
      <w:r w:rsidR="00044422" w:rsidRPr="004F55B7">
        <w:rPr>
          <w:rFonts w:cs="Arial"/>
          <w:lang w:val="en-GB"/>
        </w:rPr>
        <w:t xml:space="preserve"> at this </w:t>
      </w:r>
      <w:r w:rsidR="00044422" w:rsidRPr="0057438D">
        <w:rPr>
          <w:rFonts w:cs="Arial"/>
          <w:lang w:val="en-GB"/>
        </w:rPr>
        <w:t>stage and impacts upon all wards</w:t>
      </w:r>
    </w:p>
    <w:p w14:paraId="34C7F667" w14:textId="77777777" w:rsidR="00167ACC" w:rsidRPr="0057438D" w:rsidRDefault="00167ACC" w:rsidP="00B602B7">
      <w:pPr>
        <w:tabs>
          <w:tab w:val="left" w:pos="7245"/>
        </w:tabs>
        <w:jc w:val="both"/>
        <w:rPr>
          <w:i/>
        </w:rPr>
      </w:pPr>
    </w:p>
    <w:p w14:paraId="24BA62B8" w14:textId="77777777" w:rsidR="007E2951" w:rsidRPr="004D3C27" w:rsidRDefault="007E2951" w:rsidP="00865FC9">
      <w:pPr>
        <w:keepNext/>
        <w:jc w:val="both"/>
        <w:rPr>
          <w:b/>
          <w:sz w:val="28"/>
          <w:szCs w:val="28"/>
        </w:rPr>
      </w:pPr>
      <w:r w:rsidRPr="00865FC9">
        <w:rPr>
          <w:b/>
          <w:sz w:val="28"/>
          <w:szCs w:val="28"/>
        </w:rPr>
        <w:t>Risk Management Implications</w:t>
      </w:r>
    </w:p>
    <w:p w14:paraId="1D69F8F9" w14:textId="77777777" w:rsidR="007E2951" w:rsidRDefault="007E2951" w:rsidP="00865FC9">
      <w:pPr>
        <w:pStyle w:val="Heading1"/>
        <w:keepNext/>
        <w:jc w:val="both"/>
        <w:rPr>
          <w:b/>
          <w:sz w:val="24"/>
          <w:szCs w:val="24"/>
        </w:rPr>
      </w:pPr>
    </w:p>
    <w:p w14:paraId="058130EB" w14:textId="77777777" w:rsidR="007E2951" w:rsidRDefault="007E2951" w:rsidP="007E2951">
      <w:pPr>
        <w:pStyle w:val="infotext0"/>
        <w:keepNext/>
        <w:spacing w:before="0" w:beforeAutospacing="0" w:after="0" w:afterAutospacing="0"/>
        <w:ind w:right="81"/>
        <w:jc w:val="both"/>
        <w:rPr>
          <w:rFonts w:ascii="Arial" w:hAnsi="Arial" w:cs="Arial"/>
          <w:lang w:val="en-GB"/>
        </w:rPr>
      </w:pPr>
      <w:r>
        <w:rPr>
          <w:rFonts w:ascii="Arial" w:hAnsi="Arial" w:cs="Arial"/>
          <w:lang w:val="en-GB"/>
        </w:rPr>
        <w:t xml:space="preserve">Risk included on Directorate risk register? No </w:t>
      </w:r>
    </w:p>
    <w:p w14:paraId="1927BFEA" w14:textId="77777777" w:rsidR="007E2951" w:rsidRDefault="007E2951" w:rsidP="007E2951">
      <w:pPr>
        <w:keepNext/>
        <w:ind w:right="141"/>
        <w:jc w:val="both"/>
        <w:rPr>
          <w:rFonts w:cs="Arial"/>
          <w:szCs w:val="24"/>
        </w:rPr>
      </w:pPr>
      <w:r>
        <w:rPr>
          <w:rFonts w:cs="Arial"/>
          <w:szCs w:val="24"/>
        </w:rPr>
        <w:t>Separate risk register in place? No </w:t>
      </w:r>
    </w:p>
    <w:p w14:paraId="2E44D524" w14:textId="77777777" w:rsidR="007E2951" w:rsidRDefault="007E2951" w:rsidP="007E2951">
      <w:pPr>
        <w:ind w:right="141"/>
        <w:jc w:val="both"/>
        <w:rPr>
          <w:rFonts w:cs="Arial"/>
          <w:szCs w:val="24"/>
        </w:rPr>
      </w:pPr>
      <w:r>
        <w:rPr>
          <w:rFonts w:cs="Arial"/>
          <w:szCs w:val="24"/>
        </w:rPr>
        <w:t xml:space="preserve">There are no significant risks arising from the recommendations – information report only. </w:t>
      </w:r>
    </w:p>
    <w:p w14:paraId="1FFF7463" w14:textId="3F43F0ED" w:rsidR="008D0B76" w:rsidRDefault="008D0B76" w:rsidP="00BD7FB1">
      <w:pPr>
        <w:pStyle w:val="Heading3"/>
        <w:keepNext/>
        <w:spacing w:before="240"/>
      </w:pPr>
      <w:r>
        <w:t>Legal Implications</w:t>
      </w:r>
    </w:p>
    <w:p w14:paraId="2620D049" w14:textId="77777777" w:rsidR="008D0B76" w:rsidRDefault="008D0B76" w:rsidP="00BD7FB1">
      <w:pPr>
        <w:keepNext/>
        <w:jc w:val="both"/>
      </w:pPr>
    </w:p>
    <w:p w14:paraId="5ABA7B0B" w14:textId="55171A80" w:rsidR="00141BD1" w:rsidRPr="00A03D6A" w:rsidRDefault="00141BD1" w:rsidP="00B602B7">
      <w:pPr>
        <w:jc w:val="both"/>
        <w:rPr>
          <w:u w:val="single"/>
        </w:rPr>
      </w:pPr>
      <w:r w:rsidRPr="00252C27">
        <w:rPr>
          <w:rFonts w:cs="Arial"/>
          <w:bCs/>
          <w:iCs/>
          <w:szCs w:val="24"/>
        </w:rPr>
        <w:t xml:space="preserve">CIL is a planning charge that was introduced by the Planning Act 2008 Part II </w:t>
      </w:r>
      <w:r w:rsidRPr="00A03D6A">
        <w:rPr>
          <w:rFonts w:cs="Arial"/>
          <w:bCs/>
          <w:iCs/>
          <w:szCs w:val="24"/>
        </w:rPr>
        <w:t>to help deliver infrastructure to support the development in an area.  It came into force on 6 April 2010 through the Community Infrastructure Levy Regulations 2010 as amended (“the Regulations”). Section 216(2) of the Planning Act 2008 lists some examples of infrastructure which CIL can fund. i.e. roads and other transport facilities, flood defences, schools and other educational facilities, medical facilities, sporting and recreation facilities and open spaces</w:t>
      </w:r>
      <w:r w:rsidR="004352D7" w:rsidRPr="00A03D6A">
        <w:rPr>
          <w:rFonts w:cs="Arial"/>
          <w:bCs/>
          <w:iCs/>
          <w:szCs w:val="24"/>
        </w:rPr>
        <w:t>.</w:t>
      </w:r>
    </w:p>
    <w:p w14:paraId="61792EAF" w14:textId="0100DD33" w:rsidR="004352D7" w:rsidRPr="00A03D6A" w:rsidRDefault="004352D7" w:rsidP="00B602B7">
      <w:pPr>
        <w:jc w:val="both"/>
        <w:rPr>
          <w:rFonts w:cs="Arial"/>
          <w:bCs/>
          <w:iCs/>
          <w:szCs w:val="24"/>
        </w:rPr>
      </w:pPr>
    </w:p>
    <w:p w14:paraId="1932970A" w14:textId="10DCE163" w:rsidR="004352D7" w:rsidRDefault="00A971A4" w:rsidP="00B602B7">
      <w:pPr>
        <w:jc w:val="both"/>
      </w:pPr>
      <w:r w:rsidRPr="00A03D6A">
        <w:t xml:space="preserve">On 1 September 2019, the Regulations were amended under The Community </w:t>
      </w:r>
      <w:r w:rsidRPr="00A971A4">
        <w:t>Infrastructure Levy (Amendment) (England) (No.2) Regulations 2019 (“2019 Regulation”). Part 10A of the 2019 Regulation requires the Council to publish “annual CIL rate summary” and "annual infrastructure funding statements". These statements replaced previous Regulation 123 lists. The “annual infrastructure funding statement” must include a number of matters listed in the new Schedule 2 including details of how much money has been raised through developer contributions and how it has been spent. Both the “annual rate CIL summary” and the “annual infrastructure funding statement” must be published on the Council’s websites at least once a year.</w:t>
      </w:r>
    </w:p>
    <w:p w14:paraId="45704ECF" w14:textId="77777777" w:rsidR="00141BD1" w:rsidRDefault="00141BD1" w:rsidP="00B602B7">
      <w:pPr>
        <w:jc w:val="both"/>
      </w:pPr>
    </w:p>
    <w:p w14:paraId="27C4B1E6" w14:textId="2533A509" w:rsidR="00B04452" w:rsidRPr="00FA1885" w:rsidRDefault="00B04452" w:rsidP="00B602B7">
      <w:pPr>
        <w:jc w:val="both"/>
      </w:pPr>
      <w:r w:rsidRPr="00FA1885">
        <w:t>The Community Infrastructure Levy Regulations and the National Planning Practice Guidance set a framework in which CIL receipts need to be spent. Establishing a robust mechanism for the allocation of CIL seeks to ensure requirements are complied with, and links expenditure to supporting new development in the borough. A transparent mechanism also provides opportunity for input from stakeholders.</w:t>
      </w:r>
    </w:p>
    <w:p w14:paraId="1FE950A6" w14:textId="54C7A162" w:rsidR="008531E5" w:rsidRDefault="008531E5" w:rsidP="00B602B7">
      <w:pPr>
        <w:jc w:val="both"/>
      </w:pPr>
    </w:p>
    <w:p w14:paraId="09870578" w14:textId="2116DA7B" w:rsidR="008531E5" w:rsidRPr="00FA1885" w:rsidRDefault="00561335" w:rsidP="00B602B7">
      <w:pPr>
        <w:jc w:val="both"/>
      </w:pPr>
      <w:r w:rsidRPr="00AD3469">
        <w:rPr>
          <w:rFonts w:cs="Arial"/>
          <w:bCs/>
          <w:iCs/>
          <w:szCs w:val="24"/>
        </w:rPr>
        <w:lastRenderedPageBreak/>
        <w:t>The Localism Act 2011 introduced requirements that a ‘meaningful proportion’ of CIL income is allocated to parish councils to support their neighbourhood infrastructure requirements</w:t>
      </w:r>
      <w:r>
        <w:rPr>
          <w:rFonts w:cs="Arial"/>
          <w:bCs/>
          <w:iCs/>
          <w:szCs w:val="24"/>
        </w:rPr>
        <w:t>.</w:t>
      </w:r>
      <w:r w:rsidR="00067121">
        <w:rPr>
          <w:rFonts w:cs="Arial"/>
          <w:bCs/>
          <w:iCs/>
          <w:szCs w:val="24"/>
        </w:rPr>
        <w:t xml:space="preserve"> </w:t>
      </w:r>
      <w:r w:rsidR="00067121" w:rsidRPr="000054CD">
        <w:rPr>
          <w:rFonts w:cs="Arial"/>
          <w:bCs/>
          <w:iCs/>
          <w:szCs w:val="24"/>
        </w:rPr>
        <w:t xml:space="preserve">Regulation 59F enables a similar application of CIL receipts in cases where, as in </w:t>
      </w:r>
      <w:r w:rsidR="00067121">
        <w:rPr>
          <w:rFonts w:cs="Arial"/>
          <w:bCs/>
          <w:iCs/>
          <w:szCs w:val="24"/>
        </w:rPr>
        <w:t>Harrow</w:t>
      </w:r>
      <w:r w:rsidR="00067121" w:rsidRPr="000054CD">
        <w:rPr>
          <w:rFonts w:cs="Arial"/>
          <w:bCs/>
          <w:iCs/>
          <w:szCs w:val="24"/>
        </w:rPr>
        <w:t>, a charging authority does not have a local council structure</w:t>
      </w:r>
      <w:r w:rsidR="0020728F">
        <w:rPr>
          <w:rFonts w:cs="Arial"/>
          <w:bCs/>
          <w:iCs/>
          <w:szCs w:val="24"/>
        </w:rPr>
        <w:t>.</w:t>
      </w:r>
    </w:p>
    <w:p w14:paraId="480D8BE8" w14:textId="77777777" w:rsidR="00B04452" w:rsidRPr="00FA1885" w:rsidRDefault="00B04452" w:rsidP="00B602B7">
      <w:pPr>
        <w:jc w:val="both"/>
      </w:pPr>
    </w:p>
    <w:p w14:paraId="4DDA02F1" w14:textId="1F4CFEBA" w:rsidR="00C22997" w:rsidRDefault="00845DBB" w:rsidP="00B602B7">
      <w:pPr>
        <w:jc w:val="both"/>
      </w:pPr>
      <w:r w:rsidRPr="00FA1885">
        <w:t xml:space="preserve">Under </w:t>
      </w:r>
      <w:r w:rsidR="00262A9A">
        <w:t>Regulation</w:t>
      </w:r>
      <w:r w:rsidR="006C3876">
        <w:t xml:space="preserve"> 59A(5)</w:t>
      </w:r>
      <w:r w:rsidRPr="00FA1885">
        <w:t xml:space="preserve"> at least 15% of CIL funds received through the levy (subject to a cap of £100 per dwelling in the local area) must be spent on projects that take account of the views of the communities in which development has taken place (‘Neighbourhood CIL’) (NCIL) and supports the development of the area in which the CIL is generated. The percentage is more (25%) if there is a neighbourhood plan or a neighbourhood development order. The balance (excluding administration top slice) is commonly referred to as ‘Borough CIL’ (BCIL) and can be spent anywhere in the borough, provided it supports development within the borough.</w:t>
      </w:r>
      <w:r w:rsidR="00150A58" w:rsidRPr="00FA1885">
        <w:t xml:space="preserve"> </w:t>
      </w:r>
    </w:p>
    <w:p w14:paraId="4BB0960A" w14:textId="5078D05A" w:rsidR="00C22997" w:rsidRDefault="00C22997" w:rsidP="00B602B7">
      <w:pPr>
        <w:jc w:val="both"/>
      </w:pPr>
    </w:p>
    <w:p w14:paraId="514717FD" w14:textId="4A7A7C19" w:rsidR="006C270F" w:rsidRPr="00A03D6A" w:rsidRDefault="006C270F" w:rsidP="00A03D6A">
      <w:pPr>
        <w:jc w:val="both"/>
      </w:pPr>
      <w:r w:rsidRPr="006C270F">
        <w:rPr>
          <w:rFonts w:cs="Arial"/>
          <w:bCs/>
          <w:iCs/>
          <w:szCs w:val="24"/>
        </w:rPr>
        <w:t xml:space="preserve">Under the Regulations, regulation 59F(3) prescribes how the neighbourhood CIL may be </w:t>
      </w:r>
      <w:r w:rsidRPr="00A03D6A">
        <w:t>used</w:t>
      </w:r>
      <w:r w:rsidRPr="006C270F">
        <w:rPr>
          <w:rFonts w:cs="Arial"/>
          <w:bCs/>
          <w:iCs/>
          <w:szCs w:val="24"/>
        </w:rPr>
        <w:t xml:space="preserve"> in these circumstances and provides that it may use the CIL </w:t>
      </w:r>
      <w:r w:rsidRPr="00A03D6A">
        <w:t>to support the development of the relevant area by funding:</w:t>
      </w:r>
    </w:p>
    <w:p w14:paraId="2F701742" w14:textId="77777777" w:rsidR="006C270F" w:rsidRPr="00A03D6A" w:rsidRDefault="006C270F" w:rsidP="00A03D6A">
      <w:pPr>
        <w:jc w:val="both"/>
      </w:pPr>
    </w:p>
    <w:p w14:paraId="7A390A5A" w14:textId="18F1C4E7" w:rsidR="006C270F" w:rsidRPr="00A03D6A" w:rsidRDefault="000265B4" w:rsidP="000265B4">
      <w:pPr>
        <w:ind w:left="567" w:hanging="567"/>
        <w:jc w:val="both"/>
      </w:pPr>
      <w:r>
        <w:t>(1)</w:t>
      </w:r>
      <w:r>
        <w:tab/>
      </w:r>
      <w:r w:rsidR="006C270F" w:rsidRPr="00A03D6A">
        <w:t>The provision, improvement, replacement, operation or maintenance of infrastructure: or</w:t>
      </w:r>
    </w:p>
    <w:p w14:paraId="794F148E" w14:textId="0F0CE5D5" w:rsidR="006C270F" w:rsidRPr="00A03D6A" w:rsidRDefault="004B761A" w:rsidP="000265B4">
      <w:pPr>
        <w:ind w:left="567" w:hanging="567"/>
        <w:jc w:val="both"/>
      </w:pPr>
      <w:r>
        <w:t>(2)</w:t>
      </w:r>
      <w:r>
        <w:tab/>
      </w:r>
      <w:r w:rsidR="006C270F" w:rsidRPr="00A03D6A">
        <w:t>Anything else that is concerned with addressing the demands that development places on an area.</w:t>
      </w:r>
    </w:p>
    <w:p w14:paraId="590C3490" w14:textId="77777777" w:rsidR="00C22997" w:rsidRDefault="00C22997" w:rsidP="00B602B7">
      <w:pPr>
        <w:jc w:val="both"/>
      </w:pPr>
    </w:p>
    <w:p w14:paraId="1C118856" w14:textId="1DF34709" w:rsidR="00845DBB" w:rsidRPr="00FA1885" w:rsidRDefault="00150A58" w:rsidP="00B602B7">
      <w:pPr>
        <w:jc w:val="both"/>
      </w:pPr>
      <w:r w:rsidRPr="00FA1885">
        <w:t xml:space="preserve">The CIL Regulations are legally binding and set out the </w:t>
      </w:r>
      <w:r w:rsidR="001031B2">
        <w:t xml:space="preserve">framework and processes through which CIL collection and expenditure should take place. </w:t>
      </w:r>
    </w:p>
    <w:p w14:paraId="609C180C" w14:textId="7CD9C2BD" w:rsidR="002A7085" w:rsidRPr="00FA1885" w:rsidRDefault="002A7085" w:rsidP="00B602B7">
      <w:pPr>
        <w:jc w:val="both"/>
      </w:pPr>
      <w:r w:rsidRPr="00FA1885">
        <w:t xml:space="preserve">The </w:t>
      </w:r>
      <w:hyperlink r:id="rId15" w:history="1">
        <w:r w:rsidRPr="00FA1885">
          <w:rPr>
            <w:rStyle w:val="Hyperlink"/>
            <w:color w:val="auto"/>
          </w:rPr>
          <w:t>CIL Guidelines</w:t>
        </w:r>
      </w:hyperlink>
      <w:r w:rsidRPr="00FA1885">
        <w:t xml:space="preserve"> accompany the </w:t>
      </w:r>
      <w:r w:rsidR="00D60B09" w:rsidRPr="00FA1885">
        <w:t xml:space="preserve">CIL Regulations and provide further guidance on the processes of allocating CIL. </w:t>
      </w:r>
      <w:r w:rsidR="001B3C1C" w:rsidRPr="006836F3">
        <w:t>There is statutory requirement that the Council as charging authorities must have regard to the government ‘CIL Guidance’.</w:t>
      </w:r>
    </w:p>
    <w:p w14:paraId="0FD8A293" w14:textId="04E1909C" w:rsidR="00AC53CC" w:rsidRPr="00FA1885" w:rsidRDefault="00AC53CC" w:rsidP="00B602B7">
      <w:pPr>
        <w:jc w:val="both"/>
      </w:pPr>
    </w:p>
    <w:p w14:paraId="5C7574C8" w14:textId="0666F464" w:rsidR="00AC53CC" w:rsidRPr="00FA1885" w:rsidRDefault="00FE2F64" w:rsidP="00B602B7">
      <w:pPr>
        <w:jc w:val="both"/>
      </w:pPr>
      <w:r w:rsidRPr="00FA1885">
        <w:t>The National Planning Practice Guidance states that ‘The law does not prescribe a specific process for agreeing how the neighbourhood portion (NCIL) should be spent. Charging authorities should use existing community consultation and engagement processes. This should include working with any designated neighbourhood forums preparing neighbourhood plans that exist in the area, theme specific neighbourhood groups, local businesses (particularly those working on business led neighbourhood plans) and using networks that ward councillors use. Crucially this consultation should be at the neighbourhood level. It should be proportionate to the level of levy receipts and the scale of the proposed development to which the neighbourhood funding relates’.</w:t>
      </w:r>
    </w:p>
    <w:p w14:paraId="3F6322CB" w14:textId="77777777" w:rsidR="00C07F05" w:rsidRDefault="00C07F05" w:rsidP="00B602B7">
      <w:pPr>
        <w:jc w:val="both"/>
      </w:pPr>
    </w:p>
    <w:p w14:paraId="5D2D3311" w14:textId="0F93F826" w:rsidR="006836F3" w:rsidRDefault="006836F3" w:rsidP="00B602B7">
      <w:pPr>
        <w:jc w:val="both"/>
      </w:pPr>
      <w:r w:rsidRPr="006836F3">
        <w:t>Th</w:t>
      </w:r>
      <w:r w:rsidR="00C07F05">
        <w:t>e</w:t>
      </w:r>
      <w:r w:rsidR="005821C1">
        <w:t xml:space="preserve"> CIL</w:t>
      </w:r>
      <w:r w:rsidRPr="006836F3">
        <w:t xml:space="preserve"> Guidance provides additional guidance on how neighbourhood CIL funds should be used where there is no local council in place. Paragraph 146 of the CIL Guidance states that the “charging authority…should engage with the communities where development has taken place and agree with them how best to spend the neighbourhood funding”. Charging authorities should set out clearly and transparently their approach to engaging with neighbourhoods</w:t>
      </w:r>
      <w:r w:rsidR="0038711C">
        <w:t>,</w:t>
      </w:r>
      <w:r w:rsidR="00350221">
        <w:t xml:space="preserve"> </w:t>
      </w:r>
      <w:r w:rsidR="00350221" w:rsidRPr="00350221">
        <w:t>using their regular communication tools for example, website, newsletters, etc</w:t>
      </w:r>
      <w:r w:rsidRPr="006836F3">
        <w:t xml:space="preserve">. The CIL Guidance goes on to explain that the use of neighbourhood CIL funds </w:t>
      </w:r>
      <w:r w:rsidRPr="006836F3">
        <w:lastRenderedPageBreak/>
        <w:t xml:space="preserve">should match priorities expressed by local communities, which should be obtained through consultation undertaken “at the neighbourhood level”. This does not necessarily prevent the Council from allocating neighbourhood CIL funds to borough wide (or larger) projects or initiatives, providing that they meet the requirement in regulation 59F. If the Council decides to depart from the CIL Guidance (i.e. by not allocating funds in accordance with priorities expressed by local communities), it should have and give clear and proper reasons for doing so.  </w:t>
      </w:r>
    </w:p>
    <w:p w14:paraId="24900C09" w14:textId="77777777" w:rsidR="004B761A" w:rsidRDefault="004B761A" w:rsidP="00B602B7">
      <w:pPr>
        <w:jc w:val="both"/>
      </w:pPr>
    </w:p>
    <w:p w14:paraId="0F997C6D" w14:textId="5380CF0D" w:rsidR="00E43A32" w:rsidRDefault="00E43A32" w:rsidP="00B602B7">
      <w:pPr>
        <w:jc w:val="both"/>
      </w:pPr>
      <w:r>
        <w:t>To note that at t</w:t>
      </w:r>
      <w:r w:rsidR="002539E9" w:rsidRPr="002539E9">
        <w:t>he Cabinet meeting on 23 June 2022, the Cabinet resolved to make amendments to the Council's Constitution to remove The Major Development Panel and that</w:t>
      </w:r>
      <w:r>
        <w:t xml:space="preserve"> </w:t>
      </w:r>
      <w:r w:rsidR="002539E9" w:rsidRPr="002539E9">
        <w:t xml:space="preserve">the Planning Policy Advisory Panel be appointed with the membership and the Terms of Reference be approved and the </w:t>
      </w:r>
      <w:r w:rsidR="00DD33D7" w:rsidRPr="002539E9">
        <w:t>Constitution</w:t>
      </w:r>
      <w:r w:rsidR="002539E9" w:rsidRPr="002539E9">
        <w:t xml:space="preserve"> be amended accordingly. This enables the Planning Policy Advisory Panel:</w:t>
      </w:r>
    </w:p>
    <w:p w14:paraId="681D6F01" w14:textId="77777777" w:rsidR="00E43A32" w:rsidRDefault="00E43A32" w:rsidP="00B602B7">
      <w:pPr>
        <w:jc w:val="both"/>
      </w:pPr>
    </w:p>
    <w:p w14:paraId="6E76DB9B" w14:textId="32415B80" w:rsidR="002539E9" w:rsidRDefault="002539E9" w:rsidP="00E43A32">
      <w:pPr>
        <w:ind w:left="1134" w:hanging="567"/>
        <w:jc w:val="both"/>
      </w:pPr>
      <w:r w:rsidRPr="002539E9">
        <w:t>3.</w:t>
      </w:r>
      <w:r w:rsidR="00E43A32">
        <w:tab/>
      </w:r>
      <w:r w:rsidRPr="002539E9">
        <w:t>To give detailed consideration to and make recommendations to Cabinet in respect</w:t>
      </w:r>
      <w:r>
        <w:t xml:space="preserve"> </w:t>
      </w:r>
      <w:r w:rsidRPr="002539E9">
        <w:t>of:</w:t>
      </w:r>
    </w:p>
    <w:p w14:paraId="08E5EB87" w14:textId="29C2E963" w:rsidR="00E43A32" w:rsidRDefault="002539E9" w:rsidP="00E43A32">
      <w:pPr>
        <w:ind w:left="1560" w:hanging="426"/>
        <w:jc w:val="both"/>
      </w:pPr>
      <w:r w:rsidRPr="002539E9">
        <w:t>(a)</w:t>
      </w:r>
      <w:r w:rsidR="00E43A32">
        <w:tab/>
      </w:r>
      <w:r w:rsidRPr="002539E9">
        <w:t>The use of the Community Infrastructure Levies (CIL) funds;</w:t>
      </w:r>
    </w:p>
    <w:p w14:paraId="1D829955" w14:textId="120990A6" w:rsidR="002539E9" w:rsidRPr="00FA1885" w:rsidRDefault="002539E9" w:rsidP="00E43A32">
      <w:pPr>
        <w:ind w:left="1560" w:hanging="426"/>
        <w:jc w:val="both"/>
      </w:pPr>
      <w:r w:rsidRPr="002539E9">
        <w:t>(b)</w:t>
      </w:r>
      <w:r w:rsidR="00E43A32">
        <w:tab/>
      </w:r>
      <w:r w:rsidRPr="002539E9">
        <w:t>Reviewing and commenting upon changes to the CIL Charging Schedule andS106 Supplementary Planning Documents (SPG)."</w:t>
      </w:r>
    </w:p>
    <w:p w14:paraId="79A96F1E" w14:textId="77777777" w:rsidR="005441BD" w:rsidRPr="00FA1885" w:rsidRDefault="005441BD" w:rsidP="00825002">
      <w:pPr>
        <w:pStyle w:val="Heading3"/>
        <w:keepNext/>
        <w:spacing w:before="240"/>
      </w:pPr>
      <w:r w:rsidRPr="00FA1885">
        <w:t>Financial Implications</w:t>
      </w:r>
    </w:p>
    <w:p w14:paraId="73DA7250" w14:textId="1E605CED" w:rsidR="00676363" w:rsidRPr="00FA1885" w:rsidRDefault="00676363" w:rsidP="00825002">
      <w:pPr>
        <w:keepNext/>
        <w:jc w:val="both"/>
        <w:rPr>
          <w:rFonts w:cs="Arial"/>
        </w:rPr>
      </w:pPr>
    </w:p>
    <w:p w14:paraId="21112911" w14:textId="6E09B3D6" w:rsidR="00FA4610" w:rsidRPr="00FA1885" w:rsidRDefault="00FA4610" w:rsidP="00B602B7">
      <w:pPr>
        <w:jc w:val="both"/>
      </w:pPr>
      <w:r w:rsidRPr="00FA1885">
        <w:t>The cost of undertaking the review will be met from within the existing revenue budget of the Planning Policy Team. The financial implications of any recommendations</w:t>
      </w:r>
      <w:r w:rsidR="00FA47BD" w:rsidRPr="00FA1885">
        <w:t xml:space="preserve"> arising from the review will be reported in any subsequent report to the Panel / Cabinet.</w:t>
      </w:r>
    </w:p>
    <w:p w14:paraId="6DC7AC52" w14:textId="77777777" w:rsidR="00FA4610" w:rsidRPr="00FA1885" w:rsidRDefault="00FA4610" w:rsidP="00B602B7">
      <w:pPr>
        <w:jc w:val="both"/>
      </w:pPr>
    </w:p>
    <w:p w14:paraId="71D9BF4B" w14:textId="2BC57444" w:rsidR="00676363" w:rsidRPr="00FA1885" w:rsidRDefault="00FA47BD" w:rsidP="00B602B7">
      <w:pPr>
        <w:jc w:val="both"/>
      </w:pPr>
      <w:r w:rsidRPr="00FA1885">
        <w:t>In general terms however, no</w:t>
      </w:r>
      <w:r w:rsidR="003759A0" w:rsidRPr="00FA1885">
        <w:t>twithstanding the review</w:t>
      </w:r>
      <w:r w:rsidR="005F0D0D" w:rsidRPr="00FA1885">
        <w:t xml:space="preserve">, </w:t>
      </w:r>
      <w:r w:rsidR="003759A0" w:rsidRPr="00FA1885">
        <w:t xml:space="preserve">the process of levying and collecting CIL from development will remain the same. </w:t>
      </w:r>
      <w:r w:rsidR="00930DEB" w:rsidRPr="00FA1885">
        <w:t xml:space="preserve">The scope of the review is focused on the allocation of CIL receipts </w:t>
      </w:r>
      <w:r w:rsidR="00732D3F" w:rsidRPr="00FA1885">
        <w:t>(</w:t>
      </w:r>
      <w:r w:rsidR="00484E6C" w:rsidRPr="00FA1885">
        <w:t>including the</w:t>
      </w:r>
      <w:r w:rsidR="00732D3F" w:rsidRPr="00FA1885">
        <w:t xml:space="preserve"> need for existing </w:t>
      </w:r>
      <w:r w:rsidR="005F0D0D" w:rsidRPr="00FA1885">
        <w:t>NCIL</w:t>
      </w:r>
      <w:r w:rsidR="00A7746C" w:rsidRPr="00FA1885">
        <w:t xml:space="preserve"> balances</w:t>
      </w:r>
      <w:r w:rsidR="005F0D0D" w:rsidRPr="00FA1885">
        <w:t xml:space="preserve"> </w:t>
      </w:r>
      <w:r w:rsidR="00D851AE" w:rsidRPr="00FA1885">
        <w:t xml:space="preserve">to be realigned to </w:t>
      </w:r>
      <w:r w:rsidR="00A7746C" w:rsidRPr="00FA1885">
        <w:t>new ward boundaries</w:t>
      </w:r>
      <w:r w:rsidR="00732D3F" w:rsidRPr="00FA1885">
        <w:t>)</w:t>
      </w:r>
      <w:r w:rsidR="00E273E0" w:rsidRPr="00FA1885">
        <w:t xml:space="preserve">. </w:t>
      </w:r>
    </w:p>
    <w:p w14:paraId="2B175A09" w14:textId="77777777" w:rsidR="000D5D8B" w:rsidRPr="00FA1885" w:rsidRDefault="000D5D8B" w:rsidP="00825002">
      <w:pPr>
        <w:pStyle w:val="Heading3"/>
        <w:keepNext/>
        <w:spacing w:before="240"/>
      </w:pPr>
      <w:r w:rsidRPr="00FA1885">
        <w:t>Equalities implications / Public Sector Equality Duty</w:t>
      </w:r>
    </w:p>
    <w:p w14:paraId="39E5C4AA" w14:textId="77777777" w:rsidR="000D5D8B" w:rsidRPr="00FA1885" w:rsidRDefault="000D5D8B" w:rsidP="00825002">
      <w:pPr>
        <w:keepNext/>
        <w:jc w:val="both"/>
      </w:pPr>
    </w:p>
    <w:p w14:paraId="28DDEF61" w14:textId="0141FB2A" w:rsidR="00E456CF" w:rsidRDefault="00E456CF" w:rsidP="00E456CF">
      <w:pPr>
        <w:jc w:val="both"/>
        <w:rPr>
          <w:rFonts w:cs="Arial"/>
          <w:szCs w:val="24"/>
        </w:rPr>
      </w:pPr>
      <w:r w:rsidRPr="00FA1885">
        <w:rPr>
          <w:rFonts w:cs="Arial"/>
          <w:szCs w:val="24"/>
        </w:rPr>
        <w:t xml:space="preserve">Was an Equality Impact Assessment </w:t>
      </w:r>
      <w:r w:rsidR="00E60A5C" w:rsidRPr="00FA1885">
        <w:rPr>
          <w:rFonts w:cs="Arial"/>
          <w:szCs w:val="24"/>
        </w:rPr>
        <w:t xml:space="preserve">(EqIA) </w:t>
      </w:r>
      <w:r w:rsidRPr="00FA1885">
        <w:rPr>
          <w:rFonts w:cs="Arial"/>
          <w:szCs w:val="24"/>
        </w:rPr>
        <w:t xml:space="preserve">carried out?  Not at this stage as </w:t>
      </w:r>
      <w:r w:rsidR="00E60A5C" w:rsidRPr="00FA1885">
        <w:rPr>
          <w:rFonts w:cs="Arial"/>
          <w:szCs w:val="24"/>
        </w:rPr>
        <w:t xml:space="preserve">report is for information only. Depending on the outcomes </w:t>
      </w:r>
      <w:r w:rsidR="00E60A5C">
        <w:rPr>
          <w:rFonts w:cs="Arial"/>
          <w:szCs w:val="24"/>
        </w:rPr>
        <w:t>of the review, an</w:t>
      </w:r>
      <w:r>
        <w:rPr>
          <w:rFonts w:cs="Arial"/>
          <w:szCs w:val="24"/>
        </w:rPr>
        <w:t xml:space="preserve"> </w:t>
      </w:r>
      <w:r w:rsidR="009E76B1">
        <w:rPr>
          <w:rFonts w:cs="Arial"/>
          <w:szCs w:val="24"/>
        </w:rPr>
        <w:t>EqIA may need to be undertaken</w:t>
      </w:r>
      <w:r w:rsidR="007024D1">
        <w:rPr>
          <w:rFonts w:cs="Arial"/>
          <w:szCs w:val="24"/>
        </w:rPr>
        <w:t>.</w:t>
      </w:r>
    </w:p>
    <w:p w14:paraId="6F1FDA3D" w14:textId="77777777" w:rsidR="005441BD" w:rsidRDefault="005441BD" w:rsidP="00825002">
      <w:pPr>
        <w:pStyle w:val="Heading2"/>
        <w:keepNext/>
        <w:spacing w:before="480"/>
        <w:jc w:val="both"/>
      </w:pPr>
      <w:r>
        <w:t>Section 3 - Statutory Officer Clearance</w:t>
      </w:r>
    </w:p>
    <w:p w14:paraId="24836A31" w14:textId="774DEC47" w:rsidR="00D27D5B" w:rsidRPr="00A66326" w:rsidRDefault="00D27D5B" w:rsidP="00825002">
      <w:pPr>
        <w:keepNext/>
        <w:spacing w:before="240"/>
        <w:jc w:val="both"/>
        <w:rPr>
          <w:sz w:val="28"/>
        </w:rPr>
      </w:pPr>
      <w:bookmarkStart w:id="1" w:name="_Hlk114737586"/>
      <w:r w:rsidRPr="00A66326">
        <w:rPr>
          <w:b/>
          <w:sz w:val="28"/>
        </w:rPr>
        <w:t xml:space="preserve">Statutory Officer:  </w:t>
      </w:r>
      <w:r w:rsidR="004C4417">
        <w:rPr>
          <w:b/>
          <w:sz w:val="28"/>
        </w:rPr>
        <w:t>Jessie Mann</w:t>
      </w:r>
    </w:p>
    <w:p w14:paraId="608DAFF7" w14:textId="793A2314" w:rsidR="00D27D5B" w:rsidRPr="00A66326" w:rsidRDefault="00D27D5B" w:rsidP="00825002">
      <w:pPr>
        <w:keepNext/>
        <w:jc w:val="both"/>
      </w:pPr>
      <w:r w:rsidRPr="00A66326">
        <w:t xml:space="preserve">Signed on </w:t>
      </w:r>
      <w:r w:rsidR="006E7B8D">
        <w:t>b</w:t>
      </w:r>
      <w:r w:rsidRPr="00A66326">
        <w:t>ehalf of the Chief Financial Officer</w:t>
      </w:r>
    </w:p>
    <w:p w14:paraId="102B4D86" w14:textId="77777777" w:rsidR="006E7B8D" w:rsidRPr="00A66326" w:rsidRDefault="006E7B8D" w:rsidP="00825002">
      <w:pPr>
        <w:keepNext/>
        <w:jc w:val="both"/>
        <w:rPr>
          <w:sz w:val="28"/>
        </w:rPr>
      </w:pPr>
    </w:p>
    <w:p w14:paraId="0BDA83DF" w14:textId="32FBA243" w:rsidR="00D27D5B" w:rsidRPr="00E432F6" w:rsidRDefault="00D27D5B" w:rsidP="00B602B7">
      <w:pPr>
        <w:spacing w:after="480"/>
        <w:jc w:val="both"/>
        <w:rPr>
          <w:bCs/>
          <w:sz w:val="28"/>
        </w:rPr>
      </w:pPr>
      <w:r w:rsidRPr="00FC6BA3">
        <w:rPr>
          <w:b/>
          <w:sz w:val="28"/>
        </w:rPr>
        <w:t xml:space="preserve">Date:  </w:t>
      </w:r>
      <w:r w:rsidR="006E7B8D" w:rsidRPr="00FC6BA3">
        <w:rPr>
          <w:bCs/>
          <w:sz w:val="28"/>
        </w:rPr>
        <w:t>22 September 2022</w:t>
      </w:r>
      <w:r w:rsidR="00E432F6" w:rsidRPr="00FC6BA3">
        <w:rPr>
          <w:bCs/>
          <w:sz w:val="28"/>
        </w:rPr>
        <w:t xml:space="preserve"> – by email</w:t>
      </w:r>
    </w:p>
    <w:bookmarkEnd w:id="1"/>
    <w:p w14:paraId="5901BA82" w14:textId="269D1172" w:rsidR="00D27D5B" w:rsidRPr="00A66326" w:rsidRDefault="00D27D5B" w:rsidP="00825002">
      <w:pPr>
        <w:keepNext/>
        <w:jc w:val="both"/>
        <w:rPr>
          <w:sz w:val="28"/>
        </w:rPr>
      </w:pPr>
      <w:r w:rsidRPr="00A66326">
        <w:rPr>
          <w:b/>
          <w:sz w:val="28"/>
        </w:rPr>
        <w:lastRenderedPageBreak/>
        <w:t xml:space="preserve">Statutory Officer:  </w:t>
      </w:r>
      <w:r w:rsidR="00853B43">
        <w:rPr>
          <w:b/>
          <w:sz w:val="28"/>
        </w:rPr>
        <w:t>Jimmy Walsh</w:t>
      </w:r>
    </w:p>
    <w:p w14:paraId="325CE56B" w14:textId="21A77979" w:rsidR="00D27D5B" w:rsidRPr="00A66326" w:rsidRDefault="00D27D5B" w:rsidP="00825002">
      <w:pPr>
        <w:keepNext/>
        <w:jc w:val="both"/>
      </w:pPr>
      <w:r w:rsidRPr="00A66326">
        <w:t>Signed on behalf of</w:t>
      </w:r>
      <w:r w:rsidR="00E43A32">
        <w:t xml:space="preserve"> </w:t>
      </w:r>
      <w:r w:rsidRPr="00A66326">
        <w:t>the Monitoring Officer</w:t>
      </w:r>
    </w:p>
    <w:p w14:paraId="37FF6CA1" w14:textId="77777777" w:rsidR="00D27D5B" w:rsidRPr="00A66326" w:rsidRDefault="00D27D5B" w:rsidP="00825002">
      <w:pPr>
        <w:keepNext/>
        <w:jc w:val="both"/>
        <w:rPr>
          <w:sz w:val="28"/>
        </w:rPr>
      </w:pPr>
    </w:p>
    <w:p w14:paraId="5CF72278" w14:textId="2D86552A" w:rsidR="00D27D5B" w:rsidRPr="003313EA" w:rsidRDefault="00D27D5B" w:rsidP="00B602B7">
      <w:pPr>
        <w:spacing w:after="480"/>
        <w:jc w:val="both"/>
        <w:rPr>
          <w:sz w:val="28"/>
        </w:rPr>
      </w:pPr>
      <w:r w:rsidRPr="00A66326">
        <w:rPr>
          <w:b/>
          <w:sz w:val="28"/>
        </w:rPr>
        <w:t xml:space="preserve">Date:  </w:t>
      </w:r>
      <w:r w:rsidR="00E43A32" w:rsidRPr="00E43A32">
        <w:rPr>
          <w:bCs/>
          <w:sz w:val="28"/>
        </w:rPr>
        <w:t>22 September 2022</w:t>
      </w:r>
      <w:r w:rsidR="00E432F6" w:rsidRPr="00E43A32">
        <w:rPr>
          <w:bCs/>
          <w:sz w:val="28"/>
        </w:rPr>
        <w:t xml:space="preserve"> – by email</w:t>
      </w:r>
    </w:p>
    <w:p w14:paraId="60CCDF64" w14:textId="77777777" w:rsidR="00075E03" w:rsidRPr="00A66326" w:rsidRDefault="00075E03" w:rsidP="00825002">
      <w:pPr>
        <w:keepNext/>
        <w:jc w:val="both"/>
        <w:rPr>
          <w:sz w:val="28"/>
        </w:rPr>
      </w:pPr>
      <w:r>
        <w:rPr>
          <w:b/>
          <w:sz w:val="28"/>
        </w:rPr>
        <w:t>Chief</w:t>
      </w:r>
      <w:r w:rsidRPr="00A66326">
        <w:rPr>
          <w:b/>
          <w:sz w:val="28"/>
        </w:rPr>
        <w:t xml:space="preserve"> Officer:  </w:t>
      </w:r>
    </w:p>
    <w:p w14:paraId="2EA2ED19" w14:textId="55D1B8A3" w:rsidR="00075E03" w:rsidRPr="00A66326" w:rsidRDefault="00075E03" w:rsidP="00825002">
      <w:pPr>
        <w:keepNext/>
        <w:jc w:val="both"/>
      </w:pPr>
      <w:r w:rsidRPr="00A66326">
        <w:t xml:space="preserve">Signed </w:t>
      </w:r>
      <w:r>
        <w:t xml:space="preserve">off by the </w:t>
      </w:r>
      <w:r w:rsidR="00E432F6">
        <w:t>Chief Planning Officer</w:t>
      </w:r>
    </w:p>
    <w:p w14:paraId="2144D58E" w14:textId="483BAC7E" w:rsidR="00075E03" w:rsidRPr="00A66326" w:rsidRDefault="00E432F6" w:rsidP="00825002">
      <w:pPr>
        <w:keepNext/>
        <w:jc w:val="both"/>
        <w:rPr>
          <w:sz w:val="28"/>
        </w:rPr>
      </w:pPr>
      <w:r w:rsidRPr="007F7C64">
        <w:rPr>
          <w:rFonts w:ascii="Calibri" w:eastAsia="Calibri" w:hAnsi="Calibri"/>
          <w:noProof/>
          <w:sz w:val="22"/>
          <w:szCs w:val="22"/>
        </w:rPr>
        <w:drawing>
          <wp:inline distT="0" distB="0" distL="0" distR="0" wp14:anchorId="345528C7" wp14:editId="420A2D50">
            <wp:extent cx="1786255" cy="676910"/>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6255" cy="676910"/>
                    </a:xfrm>
                    <a:prstGeom prst="rect">
                      <a:avLst/>
                    </a:prstGeom>
                    <a:noFill/>
                  </pic:spPr>
                </pic:pic>
              </a:graphicData>
            </a:graphic>
          </wp:inline>
        </w:drawing>
      </w:r>
    </w:p>
    <w:p w14:paraId="68C16760" w14:textId="2884325C" w:rsidR="00075E03" w:rsidRPr="00E432F6" w:rsidRDefault="00075E03" w:rsidP="00B602B7">
      <w:pPr>
        <w:spacing w:after="480"/>
        <w:jc w:val="both"/>
        <w:rPr>
          <w:bCs/>
          <w:sz w:val="28"/>
        </w:rPr>
      </w:pPr>
      <w:r w:rsidRPr="00A66326">
        <w:rPr>
          <w:b/>
          <w:sz w:val="28"/>
        </w:rPr>
        <w:t xml:space="preserve">Date:  </w:t>
      </w:r>
      <w:r w:rsidR="00E432F6">
        <w:rPr>
          <w:bCs/>
          <w:sz w:val="28"/>
        </w:rPr>
        <w:t>21 September 2022</w:t>
      </w:r>
    </w:p>
    <w:p w14:paraId="66F40407" w14:textId="77777777" w:rsidR="00D27D5B" w:rsidRPr="00435B5D" w:rsidRDefault="00D27D5B" w:rsidP="00825002">
      <w:pPr>
        <w:pStyle w:val="Heading2"/>
        <w:keepNext/>
        <w:spacing w:after="240"/>
        <w:jc w:val="both"/>
      </w:pPr>
      <w:r>
        <w:t>Mandatory Checks</w:t>
      </w:r>
    </w:p>
    <w:p w14:paraId="3A4B7F53" w14:textId="5258E1C2" w:rsidR="00D27D5B" w:rsidRPr="00A406F3" w:rsidRDefault="00D27D5B" w:rsidP="00825002">
      <w:pPr>
        <w:pStyle w:val="Heading3"/>
        <w:keepNext/>
        <w:ind w:left="0" w:firstLine="0"/>
      </w:pPr>
      <w:r w:rsidRPr="003313EA">
        <w:t xml:space="preserve">Ward Councillors </w:t>
      </w:r>
      <w:r>
        <w:t xml:space="preserve">notified:  </w:t>
      </w:r>
      <w:r w:rsidRPr="00A406F3">
        <w:t>NO</w:t>
      </w:r>
      <w:r w:rsidRPr="00333FAA">
        <w:t>, as it impacts on all Wards</w:t>
      </w:r>
      <w:r w:rsidRPr="00A406F3">
        <w:t xml:space="preserve"> </w:t>
      </w:r>
    </w:p>
    <w:p w14:paraId="48FF03A1" w14:textId="39D7AC0C" w:rsidR="00D27D5B" w:rsidRPr="00484E6C" w:rsidRDefault="00D27D5B" w:rsidP="00825002">
      <w:pPr>
        <w:pStyle w:val="Heading3"/>
        <w:keepNext/>
        <w:spacing w:before="240"/>
        <w:ind w:left="0" w:firstLine="0"/>
        <w:rPr>
          <w:b w:val="0"/>
          <w:bCs w:val="0"/>
        </w:rPr>
      </w:pPr>
      <w:r w:rsidRPr="00202D79">
        <w:t>EqIA carried out:</w:t>
      </w:r>
      <w:r>
        <w:t xml:space="preserve">  </w:t>
      </w:r>
      <w:r w:rsidRPr="00202D79">
        <w:t>NO</w:t>
      </w:r>
      <w:r w:rsidR="007024D1">
        <w:t xml:space="preserve"> </w:t>
      </w:r>
      <w:r w:rsidR="007024D1" w:rsidRPr="00ED5602">
        <w:rPr>
          <w:b w:val="0"/>
          <w:bCs w:val="0"/>
        </w:rPr>
        <w:t xml:space="preserve">- </w:t>
      </w:r>
      <w:r w:rsidR="00ED5602" w:rsidRPr="00ED5602">
        <w:rPr>
          <w:b w:val="0"/>
          <w:bCs w:val="0"/>
          <w:szCs w:val="24"/>
        </w:rPr>
        <w:t>Not at this stage as report is for information only. Depending on the outcomes of the review, an EqIA may need to be undertaken</w:t>
      </w:r>
    </w:p>
    <w:p w14:paraId="45992642" w14:textId="4946F6DB" w:rsidR="00D27D5B" w:rsidRPr="00B9153F" w:rsidRDefault="00D27D5B" w:rsidP="00B602B7">
      <w:pPr>
        <w:pStyle w:val="Heading3"/>
        <w:spacing w:before="240"/>
      </w:pPr>
      <w:r w:rsidRPr="00202D79">
        <w:t>EqIA cleared by:</w:t>
      </w:r>
      <w:r>
        <w:t xml:space="preserve">  </w:t>
      </w:r>
      <w:r w:rsidR="006E7B8D">
        <w:t>N/A</w:t>
      </w:r>
    </w:p>
    <w:p w14:paraId="1F5D9269" w14:textId="77777777" w:rsidR="005441BD" w:rsidRDefault="005441BD" w:rsidP="00825002">
      <w:pPr>
        <w:pStyle w:val="Heading2"/>
        <w:keepNext/>
        <w:spacing w:before="480" w:after="240"/>
        <w:jc w:val="both"/>
      </w:pPr>
      <w:r>
        <w:t xml:space="preserve">Section </w:t>
      </w:r>
      <w:r w:rsidR="00B8374D">
        <w:t>4</w:t>
      </w:r>
      <w:r>
        <w:t xml:space="preserve"> - Contact Details and Background Papers</w:t>
      </w:r>
    </w:p>
    <w:p w14:paraId="63C69737" w14:textId="2CBE16E0" w:rsidR="005441BD" w:rsidRDefault="005441BD" w:rsidP="00B602B7">
      <w:pPr>
        <w:pStyle w:val="Infotext"/>
        <w:jc w:val="both"/>
      </w:pPr>
      <w:r w:rsidRPr="00EE7076">
        <w:rPr>
          <w:b/>
        </w:rPr>
        <w:t>Contact:</w:t>
      </w:r>
      <w:r>
        <w:t xml:space="preserve">  </w:t>
      </w:r>
      <w:r w:rsidR="00E273E0">
        <w:t xml:space="preserve">David Hughes, </w:t>
      </w:r>
      <w:r w:rsidR="00335363">
        <w:t xml:space="preserve">Policy Planning Manager, </w:t>
      </w:r>
      <w:r w:rsidR="00ED5602">
        <w:t xml:space="preserve">0208 </w:t>
      </w:r>
      <w:r w:rsidR="00255BB6">
        <w:t xml:space="preserve">736 6082, </w:t>
      </w:r>
      <w:hyperlink r:id="rId17" w:history="1">
        <w:r w:rsidR="00255BB6" w:rsidRPr="00255BB6">
          <w:rPr>
            <w:rStyle w:val="Hyperlink"/>
          </w:rPr>
          <w:t>David.Hughes@harrow.gov.uk</w:t>
        </w:r>
      </w:hyperlink>
      <w:r w:rsidR="00F646BD">
        <w:t>.</w:t>
      </w:r>
      <w:r w:rsidR="00026E61" w:rsidRPr="00D27D5B">
        <w:rPr>
          <w:rFonts w:cs="Arial"/>
          <w:color w:val="FF0000"/>
        </w:rPr>
        <w:t>.</w:t>
      </w:r>
    </w:p>
    <w:p w14:paraId="1DFBD74A" w14:textId="565836FD" w:rsidR="00796C71" w:rsidRPr="000000B0" w:rsidRDefault="005441BD" w:rsidP="00446521">
      <w:pPr>
        <w:pStyle w:val="Infotext"/>
        <w:keepNext/>
        <w:spacing w:before="240"/>
        <w:jc w:val="both"/>
        <w:rPr>
          <w:szCs w:val="24"/>
        </w:rPr>
      </w:pPr>
      <w:r w:rsidRPr="00EE7076">
        <w:rPr>
          <w:b/>
        </w:rPr>
        <w:t>Background Papers</w:t>
      </w:r>
      <w:r w:rsidRPr="000000B0">
        <w:rPr>
          <w:b/>
        </w:rPr>
        <w:t>:</w:t>
      </w:r>
    </w:p>
    <w:p w14:paraId="31A13034" w14:textId="259760BF" w:rsidR="001031B2" w:rsidRPr="00B9153F" w:rsidRDefault="00853B43" w:rsidP="00B602B7">
      <w:pPr>
        <w:pStyle w:val="Infotext"/>
        <w:spacing w:before="240"/>
        <w:jc w:val="both"/>
        <w:rPr>
          <w:szCs w:val="24"/>
        </w:rPr>
      </w:pPr>
      <w:hyperlink r:id="rId18" w:history="1">
        <w:r w:rsidR="001031B2" w:rsidRPr="001031B2">
          <w:rPr>
            <w:rStyle w:val="Hyperlink"/>
            <w:szCs w:val="24"/>
          </w:rPr>
          <w:t>Harrow Council Community Infrastructure Levy (CIL) Annual CIL Rate Summary – 2022</w:t>
        </w:r>
      </w:hyperlink>
    </w:p>
    <w:p w14:paraId="3B6738DB" w14:textId="1DB2B00D" w:rsidR="001031B2" w:rsidRPr="00B9153F" w:rsidRDefault="001031B2" w:rsidP="00B602B7">
      <w:pPr>
        <w:pStyle w:val="Infotext"/>
        <w:spacing w:before="240"/>
        <w:jc w:val="both"/>
        <w:rPr>
          <w:szCs w:val="24"/>
        </w:rPr>
      </w:pPr>
      <w:r w:rsidRPr="00E03BF4">
        <w:rPr>
          <w:szCs w:val="24"/>
        </w:rPr>
        <w:t xml:space="preserve">Cabinet Report - Community Infrastructure Levy (CIL) – proposed allocations process </w:t>
      </w:r>
      <w:r w:rsidR="00E03BF4" w:rsidRPr="00E03BF4">
        <w:rPr>
          <w:szCs w:val="24"/>
        </w:rPr>
        <w:t>–</w:t>
      </w:r>
      <w:r w:rsidRPr="00E03BF4">
        <w:rPr>
          <w:szCs w:val="24"/>
        </w:rPr>
        <w:t xml:space="preserve"> 201</w:t>
      </w:r>
      <w:r w:rsidR="00E03BF4" w:rsidRPr="00E03BF4">
        <w:rPr>
          <w:szCs w:val="24"/>
        </w:rPr>
        <w:t xml:space="preserve">7 - </w:t>
      </w:r>
      <w:hyperlink r:id="rId19" w:history="1">
        <w:r w:rsidR="001974FC" w:rsidRPr="00E03BF4">
          <w:rPr>
            <w:rStyle w:val="Hyperlink"/>
          </w:rPr>
          <w:t>Agenda for Cabinet on Thursday 7 December 2017, 6.30 pm – Harrow Council</w:t>
        </w:r>
      </w:hyperlink>
      <w:r w:rsidR="001974FC" w:rsidRPr="00E03BF4">
        <w:t xml:space="preserve"> (see item 635).</w:t>
      </w:r>
    </w:p>
    <w:p w14:paraId="39B05248" w14:textId="48BE96CE" w:rsidR="00506F24" w:rsidRPr="00B9153F" w:rsidRDefault="00506F24">
      <w:pPr>
        <w:rPr>
          <w:sz w:val="28"/>
          <w:szCs w:val="24"/>
        </w:rPr>
      </w:pPr>
    </w:p>
    <w:p w14:paraId="78BECD31" w14:textId="64CD8DCC" w:rsidR="00571C4A" w:rsidRDefault="00571C4A" w:rsidP="003A427A">
      <w:pPr>
        <w:rPr>
          <w:rFonts w:cs="Arial"/>
        </w:rPr>
        <w:sectPr w:rsidR="00571C4A" w:rsidSect="00A03D6A">
          <w:type w:val="continuous"/>
          <w:pgSz w:w="11909" w:h="16834" w:code="9"/>
          <w:pgMar w:top="1276" w:right="1800" w:bottom="1440" w:left="1800" w:header="1008" w:footer="432" w:gutter="0"/>
          <w:cols w:space="720"/>
          <w:titlePg/>
          <w:docGrid w:linePitch="360"/>
        </w:sectPr>
      </w:pPr>
    </w:p>
    <w:p w14:paraId="243217A0" w14:textId="77777777" w:rsidR="003A427A" w:rsidRPr="00B62E94" w:rsidRDefault="003A427A" w:rsidP="003A427A">
      <w:pPr>
        <w:rPr>
          <w:rFonts w:cs="Arial"/>
          <w:b/>
          <w:bCs/>
          <w:szCs w:val="24"/>
        </w:rPr>
      </w:pPr>
      <w:r w:rsidRPr="00B62E94">
        <w:rPr>
          <w:rFonts w:cs="Arial"/>
          <w:b/>
          <w:bCs/>
          <w:szCs w:val="24"/>
        </w:rPr>
        <w:lastRenderedPageBreak/>
        <w:t>APPENDIX A – CIL BALANCE OVERVIEW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173"/>
        <w:gridCol w:w="1161"/>
        <w:gridCol w:w="1317"/>
        <w:gridCol w:w="1173"/>
        <w:gridCol w:w="1161"/>
        <w:gridCol w:w="1317"/>
        <w:gridCol w:w="1210"/>
        <w:gridCol w:w="1161"/>
        <w:gridCol w:w="1317"/>
        <w:gridCol w:w="1592"/>
        <w:gridCol w:w="1266"/>
      </w:tblGrid>
      <w:tr w:rsidR="004750DD" w:rsidRPr="00B62E94" w14:paraId="3C42E705" w14:textId="77777777" w:rsidTr="00E90342">
        <w:trPr>
          <w:trHeight w:val="841"/>
          <w:jc w:val="center"/>
        </w:trPr>
        <w:tc>
          <w:tcPr>
            <w:tcW w:w="0" w:type="auto"/>
            <w:shd w:val="clear" w:color="auto" w:fill="F2F2F2" w:themeFill="background1" w:themeFillShade="F2"/>
            <w:vAlign w:val="center"/>
          </w:tcPr>
          <w:p w14:paraId="7C50A120" w14:textId="77777777" w:rsidR="003A427A" w:rsidRPr="00B62E94" w:rsidRDefault="003A427A" w:rsidP="00E90342">
            <w:pPr>
              <w:jc w:val="center"/>
              <w:rPr>
                <w:rFonts w:cs="Arial"/>
                <w:b/>
                <w:bCs/>
                <w:sz w:val="20"/>
              </w:rPr>
            </w:pPr>
          </w:p>
        </w:tc>
        <w:tc>
          <w:tcPr>
            <w:tcW w:w="0" w:type="auto"/>
            <w:shd w:val="clear" w:color="auto" w:fill="F2F2F2" w:themeFill="background1" w:themeFillShade="F2"/>
            <w:vAlign w:val="center"/>
            <w:hideMark/>
          </w:tcPr>
          <w:p w14:paraId="3C424A2D" w14:textId="77777777" w:rsidR="003A427A" w:rsidRPr="00B62E94" w:rsidRDefault="003A427A" w:rsidP="00E90342">
            <w:pPr>
              <w:jc w:val="center"/>
              <w:rPr>
                <w:rFonts w:cs="Arial"/>
                <w:b/>
                <w:bCs/>
                <w:sz w:val="20"/>
              </w:rPr>
            </w:pPr>
            <w:r w:rsidRPr="00B62E94">
              <w:rPr>
                <w:rFonts w:cs="Arial"/>
                <w:b/>
                <w:bCs/>
                <w:sz w:val="20"/>
              </w:rPr>
              <w:t xml:space="preserve">19/20 </w:t>
            </w:r>
            <w:r w:rsidRPr="00B62E94">
              <w:rPr>
                <w:rFonts w:cs="Arial"/>
                <w:b/>
                <w:bCs/>
                <w:sz w:val="20"/>
              </w:rPr>
              <w:br/>
              <w:t>Income</w:t>
            </w:r>
          </w:p>
        </w:tc>
        <w:tc>
          <w:tcPr>
            <w:tcW w:w="0" w:type="auto"/>
            <w:shd w:val="clear" w:color="auto" w:fill="F2F2F2" w:themeFill="background1" w:themeFillShade="F2"/>
            <w:vAlign w:val="center"/>
            <w:hideMark/>
          </w:tcPr>
          <w:p w14:paraId="56247C6F" w14:textId="1D30F95E" w:rsidR="003A427A" w:rsidRPr="00B62E94" w:rsidRDefault="003A427A" w:rsidP="00E90342">
            <w:pPr>
              <w:jc w:val="center"/>
              <w:rPr>
                <w:rFonts w:cs="Arial"/>
                <w:b/>
                <w:bCs/>
                <w:sz w:val="20"/>
              </w:rPr>
            </w:pPr>
            <w:r w:rsidRPr="00B62E94">
              <w:rPr>
                <w:rFonts w:cs="Arial"/>
                <w:b/>
                <w:bCs/>
                <w:sz w:val="20"/>
              </w:rPr>
              <w:t xml:space="preserve">19/20 </w:t>
            </w:r>
            <w:r w:rsidRPr="004F55B7">
              <w:rPr>
                <w:rFonts w:cs="Arial"/>
                <w:b/>
                <w:bCs/>
                <w:sz w:val="20"/>
              </w:rPr>
              <w:t>Expend</w:t>
            </w:r>
            <w:r w:rsidR="00B168BC">
              <w:rPr>
                <w:rFonts w:cs="Arial"/>
                <w:b/>
                <w:bCs/>
                <w:sz w:val="20"/>
              </w:rPr>
              <w:t>.</w:t>
            </w:r>
          </w:p>
        </w:tc>
        <w:tc>
          <w:tcPr>
            <w:tcW w:w="0" w:type="auto"/>
            <w:shd w:val="clear" w:color="auto" w:fill="F2F2F2" w:themeFill="background1" w:themeFillShade="F2"/>
            <w:vAlign w:val="center"/>
            <w:hideMark/>
          </w:tcPr>
          <w:p w14:paraId="50C6913B" w14:textId="77777777" w:rsidR="003A427A" w:rsidRPr="00B62E94" w:rsidRDefault="003A427A" w:rsidP="00E90342">
            <w:pPr>
              <w:jc w:val="center"/>
              <w:rPr>
                <w:rFonts w:cs="Arial"/>
                <w:b/>
                <w:bCs/>
                <w:sz w:val="20"/>
              </w:rPr>
            </w:pPr>
            <w:r w:rsidRPr="00B62E94">
              <w:rPr>
                <w:rFonts w:cs="Arial"/>
                <w:b/>
                <w:bCs/>
                <w:sz w:val="20"/>
              </w:rPr>
              <w:t>Balance as at 31.03.20</w:t>
            </w:r>
          </w:p>
        </w:tc>
        <w:tc>
          <w:tcPr>
            <w:tcW w:w="0" w:type="auto"/>
            <w:shd w:val="clear" w:color="auto" w:fill="F2F2F2" w:themeFill="background1" w:themeFillShade="F2"/>
            <w:vAlign w:val="center"/>
            <w:hideMark/>
          </w:tcPr>
          <w:p w14:paraId="6CBE5547" w14:textId="77777777" w:rsidR="003A427A" w:rsidRPr="00B62E94" w:rsidRDefault="003A427A" w:rsidP="00E90342">
            <w:pPr>
              <w:jc w:val="center"/>
              <w:rPr>
                <w:rFonts w:cs="Arial"/>
                <w:b/>
                <w:bCs/>
                <w:sz w:val="20"/>
              </w:rPr>
            </w:pPr>
            <w:r w:rsidRPr="00B62E94">
              <w:rPr>
                <w:rFonts w:cs="Arial"/>
                <w:b/>
                <w:bCs/>
                <w:sz w:val="20"/>
              </w:rPr>
              <w:t>20/21</w:t>
            </w:r>
            <w:r w:rsidRPr="00B62E94">
              <w:rPr>
                <w:rFonts w:cs="Arial"/>
                <w:b/>
                <w:bCs/>
                <w:sz w:val="20"/>
              </w:rPr>
              <w:br/>
              <w:t>Income</w:t>
            </w:r>
          </w:p>
        </w:tc>
        <w:tc>
          <w:tcPr>
            <w:tcW w:w="0" w:type="auto"/>
            <w:shd w:val="clear" w:color="auto" w:fill="F2F2F2" w:themeFill="background1" w:themeFillShade="F2"/>
            <w:vAlign w:val="center"/>
            <w:hideMark/>
          </w:tcPr>
          <w:p w14:paraId="5CDA849F" w14:textId="36A5B15D" w:rsidR="003A427A" w:rsidRPr="00B62E94" w:rsidRDefault="003A427A" w:rsidP="00E90342">
            <w:pPr>
              <w:jc w:val="center"/>
              <w:rPr>
                <w:rFonts w:cs="Arial"/>
                <w:b/>
                <w:bCs/>
                <w:sz w:val="20"/>
              </w:rPr>
            </w:pPr>
            <w:r w:rsidRPr="00B62E94">
              <w:rPr>
                <w:rFonts w:cs="Arial"/>
                <w:b/>
                <w:bCs/>
                <w:sz w:val="20"/>
              </w:rPr>
              <w:t xml:space="preserve">20/21 </w:t>
            </w:r>
            <w:r w:rsidRPr="004F55B7">
              <w:rPr>
                <w:rFonts w:cs="Arial"/>
                <w:b/>
                <w:bCs/>
                <w:sz w:val="20"/>
              </w:rPr>
              <w:t>Expend</w:t>
            </w:r>
            <w:r w:rsidR="00B168BC">
              <w:rPr>
                <w:rFonts w:cs="Arial"/>
                <w:b/>
                <w:bCs/>
                <w:sz w:val="20"/>
              </w:rPr>
              <w:t>.</w:t>
            </w:r>
          </w:p>
        </w:tc>
        <w:tc>
          <w:tcPr>
            <w:tcW w:w="0" w:type="auto"/>
            <w:shd w:val="clear" w:color="auto" w:fill="F2F2F2" w:themeFill="background1" w:themeFillShade="F2"/>
            <w:vAlign w:val="center"/>
            <w:hideMark/>
          </w:tcPr>
          <w:p w14:paraId="461E9D1B" w14:textId="77777777" w:rsidR="003A427A" w:rsidRPr="00B62E94" w:rsidRDefault="003A427A" w:rsidP="00E90342">
            <w:pPr>
              <w:jc w:val="center"/>
              <w:rPr>
                <w:rFonts w:cs="Arial"/>
                <w:b/>
                <w:bCs/>
                <w:sz w:val="20"/>
              </w:rPr>
            </w:pPr>
            <w:r w:rsidRPr="00B62E94">
              <w:rPr>
                <w:rFonts w:cs="Arial"/>
                <w:b/>
                <w:bCs/>
                <w:sz w:val="20"/>
              </w:rPr>
              <w:t>Balance as at 31.03.21</w:t>
            </w:r>
          </w:p>
        </w:tc>
        <w:tc>
          <w:tcPr>
            <w:tcW w:w="0" w:type="auto"/>
            <w:shd w:val="clear" w:color="auto" w:fill="F2F2F2" w:themeFill="background1" w:themeFillShade="F2"/>
            <w:vAlign w:val="center"/>
            <w:hideMark/>
          </w:tcPr>
          <w:p w14:paraId="1F7DEA61" w14:textId="77777777" w:rsidR="003A427A" w:rsidRPr="00B62E94" w:rsidRDefault="003A427A" w:rsidP="00E90342">
            <w:pPr>
              <w:jc w:val="center"/>
              <w:rPr>
                <w:rFonts w:cs="Arial"/>
                <w:b/>
                <w:bCs/>
                <w:sz w:val="20"/>
              </w:rPr>
            </w:pPr>
            <w:r w:rsidRPr="00B62E94">
              <w:rPr>
                <w:rFonts w:cs="Arial"/>
                <w:b/>
                <w:bCs/>
                <w:sz w:val="20"/>
              </w:rPr>
              <w:t>21/22 Income</w:t>
            </w:r>
          </w:p>
        </w:tc>
        <w:tc>
          <w:tcPr>
            <w:tcW w:w="0" w:type="auto"/>
            <w:shd w:val="clear" w:color="auto" w:fill="F2F2F2" w:themeFill="background1" w:themeFillShade="F2"/>
            <w:vAlign w:val="center"/>
            <w:hideMark/>
          </w:tcPr>
          <w:p w14:paraId="3C954F59" w14:textId="66FDF2DF" w:rsidR="003A427A" w:rsidRPr="00B62E94" w:rsidRDefault="003A427A" w:rsidP="00E90342">
            <w:pPr>
              <w:jc w:val="center"/>
              <w:rPr>
                <w:rFonts w:cs="Arial"/>
                <w:b/>
                <w:bCs/>
                <w:sz w:val="20"/>
              </w:rPr>
            </w:pPr>
            <w:r w:rsidRPr="00B62E94">
              <w:rPr>
                <w:rFonts w:cs="Arial"/>
                <w:b/>
                <w:bCs/>
                <w:sz w:val="20"/>
              </w:rPr>
              <w:t xml:space="preserve">21/22 </w:t>
            </w:r>
            <w:r w:rsidRPr="004F55B7">
              <w:rPr>
                <w:rFonts w:cs="Arial"/>
                <w:b/>
                <w:bCs/>
                <w:sz w:val="20"/>
              </w:rPr>
              <w:t>Expend</w:t>
            </w:r>
            <w:r w:rsidR="00B168BC">
              <w:rPr>
                <w:rFonts w:cs="Arial"/>
                <w:b/>
                <w:bCs/>
                <w:sz w:val="20"/>
              </w:rPr>
              <w:t>.</w:t>
            </w:r>
          </w:p>
        </w:tc>
        <w:tc>
          <w:tcPr>
            <w:tcW w:w="0" w:type="auto"/>
            <w:shd w:val="clear" w:color="auto" w:fill="F2F2F2" w:themeFill="background1" w:themeFillShade="F2"/>
            <w:vAlign w:val="center"/>
            <w:hideMark/>
          </w:tcPr>
          <w:p w14:paraId="4711E771" w14:textId="77777777" w:rsidR="003A427A" w:rsidRPr="00B62E94" w:rsidRDefault="003A427A" w:rsidP="00E90342">
            <w:pPr>
              <w:jc w:val="center"/>
              <w:rPr>
                <w:rFonts w:cs="Arial"/>
                <w:b/>
                <w:bCs/>
                <w:sz w:val="20"/>
              </w:rPr>
            </w:pPr>
            <w:r w:rsidRPr="00B62E94">
              <w:rPr>
                <w:rFonts w:cs="Arial"/>
                <w:b/>
                <w:bCs/>
                <w:sz w:val="20"/>
              </w:rPr>
              <w:t>Balance as at 31.03.22</w:t>
            </w:r>
          </w:p>
        </w:tc>
        <w:tc>
          <w:tcPr>
            <w:tcW w:w="0" w:type="auto"/>
            <w:shd w:val="clear" w:color="auto" w:fill="F2F2F2" w:themeFill="background1" w:themeFillShade="F2"/>
            <w:vAlign w:val="center"/>
            <w:hideMark/>
          </w:tcPr>
          <w:p w14:paraId="14E8B94A" w14:textId="77777777" w:rsidR="003A427A" w:rsidRPr="00B62E94" w:rsidRDefault="003A427A" w:rsidP="00E90342">
            <w:pPr>
              <w:jc w:val="center"/>
              <w:rPr>
                <w:rFonts w:cs="Arial"/>
                <w:b/>
                <w:bCs/>
                <w:sz w:val="20"/>
              </w:rPr>
            </w:pPr>
            <w:r w:rsidRPr="00B62E94">
              <w:rPr>
                <w:rFonts w:cs="Arial"/>
                <w:b/>
                <w:bCs/>
                <w:sz w:val="20"/>
              </w:rPr>
              <w:t>Outstanding Commitment</w:t>
            </w:r>
            <w:r w:rsidRPr="00B62E94">
              <w:rPr>
                <w:rFonts w:cs="Arial"/>
                <w:b/>
                <w:bCs/>
                <w:sz w:val="20"/>
              </w:rPr>
              <w:br/>
              <w:t>(Future years)</w:t>
            </w:r>
          </w:p>
        </w:tc>
        <w:tc>
          <w:tcPr>
            <w:tcW w:w="0" w:type="auto"/>
            <w:shd w:val="clear" w:color="auto" w:fill="F2F2F2" w:themeFill="background1" w:themeFillShade="F2"/>
            <w:vAlign w:val="center"/>
            <w:hideMark/>
          </w:tcPr>
          <w:p w14:paraId="3F18FA30" w14:textId="77777777" w:rsidR="003A427A" w:rsidRPr="00B62E94" w:rsidRDefault="003A427A" w:rsidP="00E90342">
            <w:pPr>
              <w:jc w:val="center"/>
              <w:rPr>
                <w:rFonts w:cs="Arial"/>
                <w:b/>
                <w:bCs/>
                <w:sz w:val="20"/>
              </w:rPr>
            </w:pPr>
            <w:r w:rsidRPr="00B62E94">
              <w:rPr>
                <w:rFonts w:cs="Arial"/>
                <w:b/>
                <w:bCs/>
                <w:sz w:val="20"/>
              </w:rPr>
              <w:t>Available Balance</w:t>
            </w:r>
          </w:p>
        </w:tc>
      </w:tr>
      <w:tr w:rsidR="003A427A" w:rsidRPr="00B62E94" w14:paraId="7F037ED5" w14:textId="77777777" w:rsidTr="00E90342">
        <w:trPr>
          <w:trHeight w:val="439"/>
          <w:jc w:val="center"/>
        </w:trPr>
        <w:tc>
          <w:tcPr>
            <w:tcW w:w="0" w:type="auto"/>
            <w:vAlign w:val="center"/>
          </w:tcPr>
          <w:p w14:paraId="6DA56DA6" w14:textId="77777777" w:rsidR="003A427A" w:rsidRPr="00B62E94" w:rsidRDefault="003A427A" w:rsidP="00E90342">
            <w:pPr>
              <w:jc w:val="center"/>
              <w:rPr>
                <w:rFonts w:cs="Arial"/>
                <w:sz w:val="20"/>
              </w:rPr>
            </w:pPr>
          </w:p>
        </w:tc>
        <w:tc>
          <w:tcPr>
            <w:tcW w:w="0" w:type="auto"/>
            <w:noWrap/>
            <w:vAlign w:val="center"/>
            <w:hideMark/>
          </w:tcPr>
          <w:p w14:paraId="7E6C7A67" w14:textId="77777777" w:rsidR="003A427A" w:rsidRPr="00B62E94" w:rsidRDefault="003A427A" w:rsidP="00E90342">
            <w:pPr>
              <w:jc w:val="center"/>
              <w:rPr>
                <w:rFonts w:cs="Arial"/>
                <w:sz w:val="20"/>
              </w:rPr>
            </w:pPr>
            <w:r w:rsidRPr="00B62E94">
              <w:rPr>
                <w:rFonts w:cs="Arial"/>
                <w:sz w:val="20"/>
              </w:rPr>
              <w:t>£</w:t>
            </w:r>
          </w:p>
        </w:tc>
        <w:tc>
          <w:tcPr>
            <w:tcW w:w="0" w:type="auto"/>
            <w:noWrap/>
            <w:vAlign w:val="center"/>
            <w:hideMark/>
          </w:tcPr>
          <w:p w14:paraId="22A0C06C" w14:textId="77777777" w:rsidR="003A427A" w:rsidRPr="00B62E94" w:rsidRDefault="003A427A" w:rsidP="00E90342">
            <w:pPr>
              <w:jc w:val="center"/>
              <w:rPr>
                <w:rFonts w:cs="Arial"/>
                <w:sz w:val="20"/>
              </w:rPr>
            </w:pPr>
            <w:r w:rsidRPr="00B62E94">
              <w:rPr>
                <w:rFonts w:cs="Arial"/>
                <w:sz w:val="20"/>
              </w:rPr>
              <w:t>£</w:t>
            </w:r>
          </w:p>
        </w:tc>
        <w:tc>
          <w:tcPr>
            <w:tcW w:w="0" w:type="auto"/>
            <w:noWrap/>
            <w:vAlign w:val="center"/>
            <w:hideMark/>
          </w:tcPr>
          <w:p w14:paraId="0C02C495" w14:textId="77777777" w:rsidR="003A427A" w:rsidRPr="00B62E94" w:rsidRDefault="003A427A" w:rsidP="00E90342">
            <w:pPr>
              <w:jc w:val="center"/>
              <w:rPr>
                <w:rFonts w:cs="Arial"/>
                <w:b/>
                <w:bCs/>
                <w:sz w:val="20"/>
              </w:rPr>
            </w:pPr>
            <w:r w:rsidRPr="00B62E94">
              <w:rPr>
                <w:rFonts w:cs="Arial"/>
                <w:b/>
                <w:bCs/>
                <w:sz w:val="20"/>
              </w:rPr>
              <w:t>£</w:t>
            </w:r>
          </w:p>
        </w:tc>
        <w:tc>
          <w:tcPr>
            <w:tcW w:w="0" w:type="auto"/>
            <w:noWrap/>
            <w:vAlign w:val="center"/>
            <w:hideMark/>
          </w:tcPr>
          <w:p w14:paraId="613C3755" w14:textId="77777777" w:rsidR="003A427A" w:rsidRPr="00B62E94" w:rsidRDefault="003A427A" w:rsidP="00E90342">
            <w:pPr>
              <w:jc w:val="center"/>
              <w:rPr>
                <w:rFonts w:cs="Arial"/>
                <w:sz w:val="20"/>
              </w:rPr>
            </w:pPr>
            <w:r w:rsidRPr="00B62E94">
              <w:rPr>
                <w:rFonts w:cs="Arial"/>
                <w:sz w:val="20"/>
              </w:rPr>
              <w:t>£</w:t>
            </w:r>
          </w:p>
        </w:tc>
        <w:tc>
          <w:tcPr>
            <w:tcW w:w="0" w:type="auto"/>
            <w:noWrap/>
            <w:vAlign w:val="center"/>
            <w:hideMark/>
          </w:tcPr>
          <w:p w14:paraId="5E23A25A" w14:textId="77777777" w:rsidR="003A427A" w:rsidRPr="00B62E94" w:rsidRDefault="003A427A" w:rsidP="00E90342">
            <w:pPr>
              <w:jc w:val="center"/>
              <w:rPr>
                <w:rFonts w:cs="Arial"/>
                <w:sz w:val="20"/>
              </w:rPr>
            </w:pPr>
            <w:r w:rsidRPr="00B62E94">
              <w:rPr>
                <w:rFonts w:cs="Arial"/>
                <w:sz w:val="20"/>
              </w:rPr>
              <w:t>£</w:t>
            </w:r>
          </w:p>
        </w:tc>
        <w:tc>
          <w:tcPr>
            <w:tcW w:w="0" w:type="auto"/>
            <w:noWrap/>
            <w:vAlign w:val="center"/>
            <w:hideMark/>
          </w:tcPr>
          <w:p w14:paraId="181834CF" w14:textId="77777777" w:rsidR="003A427A" w:rsidRPr="00B62E94" w:rsidRDefault="003A427A" w:rsidP="00E90342">
            <w:pPr>
              <w:jc w:val="center"/>
              <w:rPr>
                <w:rFonts w:cs="Arial"/>
                <w:b/>
                <w:bCs/>
                <w:sz w:val="20"/>
              </w:rPr>
            </w:pPr>
            <w:r w:rsidRPr="00B62E94">
              <w:rPr>
                <w:rFonts w:cs="Arial"/>
                <w:b/>
                <w:bCs/>
                <w:sz w:val="20"/>
              </w:rPr>
              <w:t>£</w:t>
            </w:r>
          </w:p>
        </w:tc>
        <w:tc>
          <w:tcPr>
            <w:tcW w:w="0" w:type="auto"/>
            <w:noWrap/>
            <w:vAlign w:val="center"/>
            <w:hideMark/>
          </w:tcPr>
          <w:p w14:paraId="73AEA211" w14:textId="77777777" w:rsidR="003A427A" w:rsidRPr="00B62E94" w:rsidRDefault="003A427A" w:rsidP="00E90342">
            <w:pPr>
              <w:jc w:val="center"/>
              <w:rPr>
                <w:rFonts w:cs="Arial"/>
                <w:sz w:val="20"/>
              </w:rPr>
            </w:pPr>
            <w:r w:rsidRPr="00B62E94">
              <w:rPr>
                <w:rFonts w:cs="Arial"/>
                <w:sz w:val="20"/>
              </w:rPr>
              <w:t>£</w:t>
            </w:r>
          </w:p>
        </w:tc>
        <w:tc>
          <w:tcPr>
            <w:tcW w:w="0" w:type="auto"/>
            <w:noWrap/>
            <w:vAlign w:val="center"/>
            <w:hideMark/>
          </w:tcPr>
          <w:p w14:paraId="0D8C6136" w14:textId="77777777" w:rsidR="003A427A" w:rsidRPr="00B62E94" w:rsidRDefault="003A427A" w:rsidP="00E90342">
            <w:pPr>
              <w:jc w:val="center"/>
              <w:rPr>
                <w:rFonts w:cs="Arial"/>
                <w:sz w:val="20"/>
              </w:rPr>
            </w:pPr>
            <w:r w:rsidRPr="00B62E94">
              <w:rPr>
                <w:rFonts w:cs="Arial"/>
                <w:sz w:val="20"/>
              </w:rPr>
              <w:t>£</w:t>
            </w:r>
          </w:p>
        </w:tc>
        <w:tc>
          <w:tcPr>
            <w:tcW w:w="0" w:type="auto"/>
            <w:noWrap/>
            <w:vAlign w:val="center"/>
            <w:hideMark/>
          </w:tcPr>
          <w:p w14:paraId="5D7A11FB" w14:textId="77777777" w:rsidR="003A427A" w:rsidRPr="00B62E94" w:rsidRDefault="003A427A" w:rsidP="00E90342">
            <w:pPr>
              <w:jc w:val="center"/>
              <w:rPr>
                <w:rFonts w:cs="Arial"/>
                <w:b/>
                <w:bCs/>
                <w:sz w:val="20"/>
              </w:rPr>
            </w:pPr>
            <w:r w:rsidRPr="00B62E94">
              <w:rPr>
                <w:rFonts w:cs="Arial"/>
                <w:b/>
                <w:bCs/>
                <w:sz w:val="20"/>
              </w:rPr>
              <w:t>£</w:t>
            </w:r>
          </w:p>
        </w:tc>
        <w:tc>
          <w:tcPr>
            <w:tcW w:w="0" w:type="auto"/>
            <w:noWrap/>
            <w:vAlign w:val="center"/>
            <w:hideMark/>
          </w:tcPr>
          <w:p w14:paraId="2F10C152" w14:textId="77777777" w:rsidR="003A427A" w:rsidRPr="00B62E94" w:rsidRDefault="003A427A" w:rsidP="00E90342">
            <w:pPr>
              <w:jc w:val="center"/>
              <w:rPr>
                <w:rFonts w:cs="Arial"/>
                <w:sz w:val="20"/>
              </w:rPr>
            </w:pPr>
            <w:r w:rsidRPr="00B62E94">
              <w:rPr>
                <w:rFonts w:cs="Arial"/>
                <w:sz w:val="20"/>
              </w:rPr>
              <w:t>£</w:t>
            </w:r>
          </w:p>
        </w:tc>
        <w:tc>
          <w:tcPr>
            <w:tcW w:w="0" w:type="auto"/>
            <w:noWrap/>
            <w:vAlign w:val="center"/>
            <w:hideMark/>
          </w:tcPr>
          <w:p w14:paraId="30D53949" w14:textId="77777777" w:rsidR="003A427A" w:rsidRPr="00B62E94" w:rsidRDefault="003A427A" w:rsidP="00E90342">
            <w:pPr>
              <w:jc w:val="center"/>
              <w:rPr>
                <w:rFonts w:cs="Arial"/>
                <w:b/>
                <w:bCs/>
                <w:sz w:val="20"/>
              </w:rPr>
            </w:pPr>
            <w:r w:rsidRPr="00B62E94">
              <w:rPr>
                <w:rFonts w:cs="Arial"/>
                <w:b/>
                <w:bCs/>
                <w:sz w:val="20"/>
              </w:rPr>
              <w:t>£</w:t>
            </w:r>
          </w:p>
        </w:tc>
      </w:tr>
      <w:tr w:rsidR="003A427A" w:rsidRPr="00B62E94" w14:paraId="5A8EB18E" w14:textId="77777777" w:rsidTr="00E90342">
        <w:trPr>
          <w:trHeight w:val="439"/>
          <w:jc w:val="center"/>
        </w:trPr>
        <w:tc>
          <w:tcPr>
            <w:tcW w:w="0" w:type="auto"/>
            <w:vAlign w:val="center"/>
          </w:tcPr>
          <w:p w14:paraId="44259F00" w14:textId="77777777" w:rsidR="003A427A" w:rsidRPr="00B62E94" w:rsidRDefault="003A427A" w:rsidP="00E90342">
            <w:pPr>
              <w:jc w:val="center"/>
              <w:rPr>
                <w:rFonts w:cs="Arial"/>
                <w:sz w:val="20"/>
              </w:rPr>
            </w:pPr>
            <w:r w:rsidRPr="00B62E94">
              <w:rPr>
                <w:rFonts w:cs="Arial"/>
                <w:sz w:val="20"/>
              </w:rPr>
              <w:t>BCIL</w:t>
            </w:r>
          </w:p>
        </w:tc>
        <w:tc>
          <w:tcPr>
            <w:tcW w:w="0" w:type="auto"/>
            <w:noWrap/>
            <w:vAlign w:val="center"/>
            <w:hideMark/>
          </w:tcPr>
          <w:p w14:paraId="725192F2" w14:textId="77777777" w:rsidR="003A427A" w:rsidRPr="00B62E94" w:rsidRDefault="003A427A" w:rsidP="00E90342">
            <w:pPr>
              <w:jc w:val="right"/>
              <w:rPr>
                <w:rFonts w:cs="Arial"/>
                <w:sz w:val="20"/>
              </w:rPr>
            </w:pPr>
            <w:r w:rsidRPr="00B62E94">
              <w:rPr>
                <w:rFonts w:cs="Arial"/>
                <w:sz w:val="20"/>
              </w:rPr>
              <w:t>-2,062,942</w:t>
            </w:r>
          </w:p>
        </w:tc>
        <w:tc>
          <w:tcPr>
            <w:tcW w:w="0" w:type="auto"/>
            <w:noWrap/>
            <w:vAlign w:val="center"/>
            <w:hideMark/>
          </w:tcPr>
          <w:p w14:paraId="3E7F46D9" w14:textId="77777777" w:rsidR="003A427A" w:rsidRPr="00B62E94" w:rsidRDefault="003A427A" w:rsidP="00E90342">
            <w:pPr>
              <w:jc w:val="right"/>
              <w:rPr>
                <w:rFonts w:cs="Arial"/>
                <w:sz w:val="20"/>
              </w:rPr>
            </w:pPr>
            <w:r w:rsidRPr="00B62E94">
              <w:rPr>
                <w:rFonts w:cs="Arial"/>
                <w:sz w:val="20"/>
              </w:rPr>
              <w:t>2,967,559</w:t>
            </w:r>
          </w:p>
        </w:tc>
        <w:tc>
          <w:tcPr>
            <w:tcW w:w="0" w:type="auto"/>
            <w:noWrap/>
            <w:vAlign w:val="center"/>
            <w:hideMark/>
          </w:tcPr>
          <w:p w14:paraId="33CDD344" w14:textId="77777777" w:rsidR="003A427A" w:rsidRPr="00B62E94" w:rsidRDefault="003A427A" w:rsidP="00E90342">
            <w:pPr>
              <w:jc w:val="right"/>
              <w:rPr>
                <w:rFonts w:cs="Arial"/>
                <w:b/>
                <w:bCs/>
                <w:sz w:val="20"/>
              </w:rPr>
            </w:pPr>
            <w:r w:rsidRPr="00B62E94">
              <w:rPr>
                <w:rFonts w:cs="Arial"/>
                <w:b/>
                <w:bCs/>
                <w:sz w:val="20"/>
              </w:rPr>
              <w:t>-5,626,706</w:t>
            </w:r>
          </w:p>
        </w:tc>
        <w:tc>
          <w:tcPr>
            <w:tcW w:w="0" w:type="auto"/>
            <w:noWrap/>
            <w:vAlign w:val="center"/>
            <w:hideMark/>
          </w:tcPr>
          <w:p w14:paraId="7A2EA8C6" w14:textId="77777777" w:rsidR="003A427A" w:rsidRPr="00B62E94" w:rsidRDefault="003A427A" w:rsidP="00E90342">
            <w:pPr>
              <w:jc w:val="right"/>
              <w:rPr>
                <w:rFonts w:cs="Arial"/>
                <w:sz w:val="20"/>
              </w:rPr>
            </w:pPr>
            <w:r w:rsidRPr="00B62E94">
              <w:rPr>
                <w:rFonts w:cs="Arial"/>
                <w:sz w:val="20"/>
              </w:rPr>
              <w:t>-1,741,108</w:t>
            </w:r>
          </w:p>
        </w:tc>
        <w:tc>
          <w:tcPr>
            <w:tcW w:w="0" w:type="auto"/>
            <w:noWrap/>
            <w:vAlign w:val="center"/>
            <w:hideMark/>
          </w:tcPr>
          <w:p w14:paraId="6B0DA24C" w14:textId="77777777" w:rsidR="003A427A" w:rsidRPr="00B62E94" w:rsidRDefault="003A427A" w:rsidP="00E90342">
            <w:pPr>
              <w:jc w:val="right"/>
              <w:rPr>
                <w:rFonts w:cs="Arial"/>
                <w:sz w:val="20"/>
              </w:rPr>
            </w:pPr>
            <w:r w:rsidRPr="00B62E94">
              <w:rPr>
                <w:rFonts w:cs="Arial"/>
                <w:sz w:val="20"/>
              </w:rPr>
              <w:t>2,788,690</w:t>
            </w:r>
          </w:p>
        </w:tc>
        <w:tc>
          <w:tcPr>
            <w:tcW w:w="0" w:type="auto"/>
            <w:noWrap/>
            <w:vAlign w:val="center"/>
            <w:hideMark/>
          </w:tcPr>
          <w:p w14:paraId="05182CE2" w14:textId="77777777" w:rsidR="003A427A" w:rsidRPr="00B62E94" w:rsidRDefault="003A427A" w:rsidP="00E90342">
            <w:pPr>
              <w:jc w:val="right"/>
              <w:rPr>
                <w:rFonts w:cs="Arial"/>
                <w:b/>
                <w:bCs/>
                <w:sz w:val="20"/>
              </w:rPr>
            </w:pPr>
            <w:r w:rsidRPr="00B62E94">
              <w:rPr>
                <w:rFonts w:cs="Arial"/>
                <w:b/>
                <w:bCs/>
                <w:sz w:val="20"/>
              </w:rPr>
              <w:t>-4,579,123</w:t>
            </w:r>
          </w:p>
        </w:tc>
        <w:tc>
          <w:tcPr>
            <w:tcW w:w="0" w:type="auto"/>
            <w:noWrap/>
            <w:vAlign w:val="center"/>
            <w:hideMark/>
          </w:tcPr>
          <w:p w14:paraId="0B7E838A" w14:textId="77777777" w:rsidR="003A427A" w:rsidRPr="00B62E94" w:rsidRDefault="003A427A" w:rsidP="00E90342">
            <w:pPr>
              <w:jc w:val="right"/>
              <w:rPr>
                <w:rFonts w:cs="Arial"/>
                <w:sz w:val="20"/>
              </w:rPr>
            </w:pPr>
            <w:r w:rsidRPr="00B62E94">
              <w:rPr>
                <w:rFonts w:cs="Arial"/>
                <w:sz w:val="20"/>
              </w:rPr>
              <w:t>-1,948,063</w:t>
            </w:r>
          </w:p>
        </w:tc>
        <w:tc>
          <w:tcPr>
            <w:tcW w:w="0" w:type="auto"/>
            <w:noWrap/>
            <w:vAlign w:val="center"/>
            <w:hideMark/>
          </w:tcPr>
          <w:p w14:paraId="0F8909C5" w14:textId="77777777" w:rsidR="003A427A" w:rsidRPr="00B62E94" w:rsidRDefault="003A427A" w:rsidP="00E90342">
            <w:pPr>
              <w:jc w:val="right"/>
              <w:rPr>
                <w:rFonts w:cs="Arial"/>
                <w:sz w:val="20"/>
              </w:rPr>
            </w:pPr>
            <w:r w:rsidRPr="00B62E94">
              <w:rPr>
                <w:rFonts w:cs="Arial"/>
                <w:sz w:val="20"/>
              </w:rPr>
              <w:t>1,756,361</w:t>
            </w:r>
          </w:p>
        </w:tc>
        <w:tc>
          <w:tcPr>
            <w:tcW w:w="0" w:type="auto"/>
            <w:noWrap/>
            <w:vAlign w:val="center"/>
            <w:hideMark/>
          </w:tcPr>
          <w:p w14:paraId="17488CBB" w14:textId="77777777" w:rsidR="003A427A" w:rsidRPr="00B62E94" w:rsidRDefault="003A427A" w:rsidP="00E90342">
            <w:pPr>
              <w:jc w:val="right"/>
              <w:rPr>
                <w:rFonts w:cs="Arial"/>
                <w:b/>
                <w:bCs/>
                <w:sz w:val="20"/>
              </w:rPr>
            </w:pPr>
            <w:r w:rsidRPr="00B62E94">
              <w:rPr>
                <w:rFonts w:cs="Arial"/>
                <w:b/>
                <w:bCs/>
                <w:sz w:val="20"/>
              </w:rPr>
              <w:t>-4,770,826</w:t>
            </w:r>
          </w:p>
        </w:tc>
        <w:tc>
          <w:tcPr>
            <w:tcW w:w="0" w:type="auto"/>
            <w:noWrap/>
            <w:vAlign w:val="center"/>
            <w:hideMark/>
          </w:tcPr>
          <w:p w14:paraId="554BA452" w14:textId="77777777" w:rsidR="003A427A" w:rsidRPr="00B62E94" w:rsidRDefault="003A427A" w:rsidP="00E90342">
            <w:pPr>
              <w:jc w:val="right"/>
              <w:rPr>
                <w:rFonts w:cs="Arial"/>
                <w:sz w:val="20"/>
              </w:rPr>
            </w:pPr>
            <w:r w:rsidRPr="00B62E94">
              <w:rPr>
                <w:rFonts w:cs="Arial"/>
                <w:sz w:val="20"/>
              </w:rPr>
              <w:t>10,662,958</w:t>
            </w:r>
          </w:p>
        </w:tc>
        <w:tc>
          <w:tcPr>
            <w:tcW w:w="0" w:type="auto"/>
            <w:noWrap/>
            <w:vAlign w:val="center"/>
            <w:hideMark/>
          </w:tcPr>
          <w:p w14:paraId="51EBB514" w14:textId="77777777" w:rsidR="003A427A" w:rsidRPr="00B62E94" w:rsidRDefault="003A427A" w:rsidP="00E90342">
            <w:pPr>
              <w:jc w:val="right"/>
              <w:rPr>
                <w:rFonts w:cs="Arial"/>
                <w:b/>
                <w:bCs/>
                <w:sz w:val="20"/>
              </w:rPr>
            </w:pPr>
            <w:r w:rsidRPr="00B62E94">
              <w:rPr>
                <w:rFonts w:cs="Arial"/>
                <w:b/>
                <w:bCs/>
                <w:sz w:val="20"/>
              </w:rPr>
              <w:t>5,892,132</w:t>
            </w:r>
          </w:p>
        </w:tc>
      </w:tr>
      <w:tr w:rsidR="003A427A" w:rsidRPr="00B62E94" w14:paraId="2F49AC08" w14:textId="77777777" w:rsidTr="00E90342">
        <w:trPr>
          <w:trHeight w:val="439"/>
          <w:jc w:val="center"/>
        </w:trPr>
        <w:tc>
          <w:tcPr>
            <w:tcW w:w="0" w:type="auto"/>
            <w:vAlign w:val="center"/>
          </w:tcPr>
          <w:p w14:paraId="2F3E8701" w14:textId="77777777" w:rsidR="003A427A" w:rsidRPr="00B62E94" w:rsidRDefault="003A427A" w:rsidP="00E90342">
            <w:pPr>
              <w:jc w:val="center"/>
              <w:rPr>
                <w:rFonts w:cs="Arial"/>
                <w:sz w:val="20"/>
              </w:rPr>
            </w:pPr>
            <w:r w:rsidRPr="00B62E94">
              <w:rPr>
                <w:rFonts w:cs="Arial"/>
                <w:sz w:val="20"/>
              </w:rPr>
              <w:t>NCIL</w:t>
            </w:r>
          </w:p>
        </w:tc>
        <w:tc>
          <w:tcPr>
            <w:tcW w:w="0" w:type="auto"/>
            <w:noWrap/>
            <w:vAlign w:val="center"/>
            <w:hideMark/>
          </w:tcPr>
          <w:p w14:paraId="0CCDF2DB" w14:textId="77777777" w:rsidR="003A427A" w:rsidRPr="00B62E94" w:rsidRDefault="003A427A" w:rsidP="00E90342">
            <w:pPr>
              <w:jc w:val="right"/>
              <w:rPr>
                <w:rFonts w:cs="Arial"/>
                <w:sz w:val="20"/>
              </w:rPr>
            </w:pPr>
            <w:r w:rsidRPr="00B62E94">
              <w:rPr>
                <w:rFonts w:cs="Arial"/>
                <w:sz w:val="20"/>
              </w:rPr>
              <w:t>-386,802</w:t>
            </w:r>
          </w:p>
        </w:tc>
        <w:tc>
          <w:tcPr>
            <w:tcW w:w="0" w:type="auto"/>
            <w:noWrap/>
            <w:vAlign w:val="center"/>
            <w:hideMark/>
          </w:tcPr>
          <w:p w14:paraId="53EA6598" w14:textId="77777777" w:rsidR="003A427A" w:rsidRPr="00B62E94" w:rsidRDefault="003A427A" w:rsidP="00E90342">
            <w:pPr>
              <w:jc w:val="right"/>
              <w:rPr>
                <w:rFonts w:cs="Arial"/>
                <w:sz w:val="20"/>
              </w:rPr>
            </w:pPr>
            <w:r w:rsidRPr="00B62E94">
              <w:rPr>
                <w:rFonts w:cs="Arial"/>
                <w:sz w:val="20"/>
              </w:rPr>
              <w:t>661,603</w:t>
            </w:r>
          </w:p>
        </w:tc>
        <w:tc>
          <w:tcPr>
            <w:tcW w:w="0" w:type="auto"/>
            <w:noWrap/>
            <w:vAlign w:val="center"/>
            <w:hideMark/>
          </w:tcPr>
          <w:p w14:paraId="62484E3C" w14:textId="77777777" w:rsidR="003A427A" w:rsidRPr="00B62E94" w:rsidRDefault="003A427A" w:rsidP="00E90342">
            <w:pPr>
              <w:jc w:val="right"/>
              <w:rPr>
                <w:rFonts w:cs="Arial"/>
                <w:b/>
                <w:bCs/>
                <w:sz w:val="20"/>
              </w:rPr>
            </w:pPr>
            <w:r w:rsidRPr="00B62E94">
              <w:rPr>
                <w:rFonts w:cs="Arial"/>
                <w:b/>
                <w:bCs/>
                <w:sz w:val="20"/>
              </w:rPr>
              <w:t>-1,869,598</w:t>
            </w:r>
          </w:p>
        </w:tc>
        <w:tc>
          <w:tcPr>
            <w:tcW w:w="0" w:type="auto"/>
            <w:noWrap/>
            <w:vAlign w:val="center"/>
            <w:hideMark/>
          </w:tcPr>
          <w:p w14:paraId="0AEE41B8" w14:textId="77777777" w:rsidR="003A427A" w:rsidRPr="00B62E94" w:rsidRDefault="003A427A" w:rsidP="00E90342">
            <w:pPr>
              <w:jc w:val="right"/>
              <w:rPr>
                <w:rFonts w:cs="Arial"/>
                <w:sz w:val="20"/>
              </w:rPr>
            </w:pPr>
            <w:r w:rsidRPr="00B62E94">
              <w:rPr>
                <w:rFonts w:cs="Arial"/>
                <w:sz w:val="20"/>
              </w:rPr>
              <w:t>-326,458</w:t>
            </w:r>
          </w:p>
        </w:tc>
        <w:tc>
          <w:tcPr>
            <w:tcW w:w="0" w:type="auto"/>
            <w:noWrap/>
            <w:vAlign w:val="center"/>
            <w:hideMark/>
          </w:tcPr>
          <w:p w14:paraId="715BF53A" w14:textId="77777777" w:rsidR="003A427A" w:rsidRPr="00B62E94" w:rsidRDefault="003A427A" w:rsidP="00E90342">
            <w:pPr>
              <w:jc w:val="right"/>
              <w:rPr>
                <w:rFonts w:cs="Arial"/>
                <w:sz w:val="20"/>
              </w:rPr>
            </w:pPr>
            <w:r w:rsidRPr="00B62E94">
              <w:rPr>
                <w:rFonts w:cs="Arial"/>
                <w:sz w:val="20"/>
              </w:rPr>
              <w:t>321,542</w:t>
            </w:r>
          </w:p>
        </w:tc>
        <w:tc>
          <w:tcPr>
            <w:tcW w:w="0" w:type="auto"/>
            <w:noWrap/>
            <w:vAlign w:val="center"/>
            <w:hideMark/>
          </w:tcPr>
          <w:p w14:paraId="6FDB938D" w14:textId="77777777" w:rsidR="003A427A" w:rsidRPr="00B62E94" w:rsidRDefault="003A427A" w:rsidP="00E90342">
            <w:pPr>
              <w:jc w:val="right"/>
              <w:rPr>
                <w:rFonts w:cs="Arial"/>
                <w:b/>
                <w:bCs/>
                <w:sz w:val="20"/>
              </w:rPr>
            </w:pPr>
            <w:r w:rsidRPr="00B62E94">
              <w:rPr>
                <w:rFonts w:cs="Arial"/>
                <w:b/>
                <w:bCs/>
                <w:sz w:val="20"/>
              </w:rPr>
              <w:t>-1,874,514</w:t>
            </w:r>
          </w:p>
        </w:tc>
        <w:tc>
          <w:tcPr>
            <w:tcW w:w="0" w:type="auto"/>
            <w:noWrap/>
            <w:vAlign w:val="center"/>
            <w:hideMark/>
          </w:tcPr>
          <w:p w14:paraId="55B86E33" w14:textId="77777777" w:rsidR="003A427A" w:rsidRPr="00B62E94" w:rsidRDefault="003A427A" w:rsidP="00E90342">
            <w:pPr>
              <w:jc w:val="right"/>
              <w:rPr>
                <w:rFonts w:cs="Arial"/>
                <w:sz w:val="20"/>
              </w:rPr>
            </w:pPr>
            <w:r w:rsidRPr="00B62E94">
              <w:rPr>
                <w:rFonts w:cs="Arial"/>
                <w:sz w:val="20"/>
              </w:rPr>
              <w:t>-365,262</w:t>
            </w:r>
          </w:p>
        </w:tc>
        <w:tc>
          <w:tcPr>
            <w:tcW w:w="0" w:type="auto"/>
            <w:noWrap/>
            <w:vAlign w:val="center"/>
            <w:hideMark/>
          </w:tcPr>
          <w:p w14:paraId="1F687C9C" w14:textId="77777777" w:rsidR="003A427A" w:rsidRPr="00B62E94" w:rsidRDefault="003A427A" w:rsidP="00E90342">
            <w:pPr>
              <w:jc w:val="right"/>
              <w:rPr>
                <w:rFonts w:cs="Arial"/>
                <w:sz w:val="20"/>
              </w:rPr>
            </w:pPr>
            <w:r w:rsidRPr="00B62E94">
              <w:rPr>
                <w:rFonts w:cs="Arial"/>
                <w:sz w:val="20"/>
              </w:rPr>
              <w:t>171,351</w:t>
            </w:r>
          </w:p>
        </w:tc>
        <w:tc>
          <w:tcPr>
            <w:tcW w:w="0" w:type="auto"/>
            <w:noWrap/>
            <w:vAlign w:val="center"/>
            <w:hideMark/>
          </w:tcPr>
          <w:p w14:paraId="06813D99" w14:textId="77777777" w:rsidR="003A427A" w:rsidRPr="00B62E94" w:rsidRDefault="003A427A" w:rsidP="00E90342">
            <w:pPr>
              <w:jc w:val="right"/>
              <w:rPr>
                <w:rFonts w:cs="Arial"/>
                <w:b/>
                <w:bCs/>
                <w:sz w:val="20"/>
              </w:rPr>
            </w:pPr>
            <w:r w:rsidRPr="00B62E94">
              <w:rPr>
                <w:rFonts w:cs="Arial"/>
                <w:b/>
                <w:bCs/>
                <w:sz w:val="20"/>
              </w:rPr>
              <w:t>-2,068,425</w:t>
            </w:r>
          </w:p>
        </w:tc>
        <w:tc>
          <w:tcPr>
            <w:tcW w:w="0" w:type="auto"/>
            <w:noWrap/>
            <w:vAlign w:val="center"/>
            <w:hideMark/>
          </w:tcPr>
          <w:p w14:paraId="2724D0A7" w14:textId="77777777" w:rsidR="003A427A" w:rsidRPr="00B62E94" w:rsidRDefault="003A427A" w:rsidP="00E90342">
            <w:pPr>
              <w:jc w:val="right"/>
              <w:rPr>
                <w:rFonts w:cs="Arial"/>
                <w:sz w:val="20"/>
              </w:rPr>
            </w:pPr>
            <w:r w:rsidRPr="00B62E94">
              <w:rPr>
                <w:rFonts w:cs="Arial"/>
                <w:sz w:val="20"/>
              </w:rPr>
              <w:t>762,635</w:t>
            </w:r>
          </w:p>
        </w:tc>
        <w:tc>
          <w:tcPr>
            <w:tcW w:w="0" w:type="auto"/>
            <w:noWrap/>
            <w:vAlign w:val="center"/>
            <w:hideMark/>
          </w:tcPr>
          <w:p w14:paraId="4A6567BD" w14:textId="1B07008B" w:rsidR="003A427A" w:rsidRPr="00B62E94" w:rsidRDefault="003A427A" w:rsidP="00E90342">
            <w:pPr>
              <w:jc w:val="right"/>
              <w:rPr>
                <w:rFonts w:cs="Arial"/>
                <w:b/>
                <w:bCs/>
                <w:sz w:val="20"/>
              </w:rPr>
            </w:pPr>
            <w:r w:rsidRPr="00B62E94">
              <w:rPr>
                <w:rFonts w:cs="Arial"/>
                <w:b/>
                <w:bCs/>
                <w:sz w:val="20"/>
              </w:rPr>
              <w:t>-1,30</w:t>
            </w:r>
            <w:r w:rsidR="002262E0">
              <w:rPr>
                <w:rFonts w:cs="Arial"/>
                <w:b/>
                <w:bCs/>
                <w:sz w:val="20"/>
              </w:rPr>
              <w:t>5,790</w:t>
            </w:r>
          </w:p>
        </w:tc>
      </w:tr>
    </w:tbl>
    <w:p w14:paraId="385977BD" w14:textId="1AC5C6C7" w:rsidR="003A427A" w:rsidRPr="00B62E94" w:rsidRDefault="004A27B7" w:rsidP="003A427A">
      <w:pPr>
        <w:rPr>
          <w:rFonts w:cs="Arial"/>
          <w:sz w:val="20"/>
        </w:rPr>
      </w:pPr>
      <w:r>
        <w:rPr>
          <w:rFonts w:cs="Arial"/>
          <w:sz w:val="20"/>
        </w:rPr>
        <w:t>Note: negative figures equate to income or ‘available’ balance, positive figure</w:t>
      </w:r>
      <w:r w:rsidR="00E90342">
        <w:rPr>
          <w:rFonts w:cs="Arial"/>
          <w:sz w:val="20"/>
        </w:rPr>
        <w:t>s</w:t>
      </w:r>
      <w:r>
        <w:rPr>
          <w:rFonts w:cs="Arial"/>
          <w:sz w:val="20"/>
        </w:rPr>
        <w:t xml:space="preserve"> relate to expenditure / commitments or ‘balance deficit’ (i.e. reliant on future income to fund commitments).</w:t>
      </w:r>
    </w:p>
    <w:p w14:paraId="5B53566A" w14:textId="77777777" w:rsidR="003A427A" w:rsidRPr="00B62E94" w:rsidRDefault="003A427A" w:rsidP="003A427A">
      <w:pPr>
        <w:rPr>
          <w:rFonts w:cs="Arial"/>
          <w:b/>
          <w:bCs/>
          <w:sz w:val="20"/>
        </w:rPr>
      </w:pPr>
    </w:p>
    <w:p w14:paraId="3EEE7693" w14:textId="77777777" w:rsidR="0033517B" w:rsidRDefault="0033517B" w:rsidP="0033517B">
      <w:pPr>
        <w:rPr>
          <w:rFonts w:cs="Arial"/>
          <w:b/>
          <w:bCs/>
          <w:szCs w:val="24"/>
        </w:rPr>
      </w:pPr>
      <w:r w:rsidRPr="008233E6">
        <w:rPr>
          <w:rFonts w:cs="Arial"/>
          <w:b/>
          <w:bCs/>
          <w:szCs w:val="24"/>
        </w:rPr>
        <w:t>APPENDIX B – PREVIOUS YEARS NCIL &amp; BCIL SPEND</w:t>
      </w:r>
      <w:r>
        <w:rPr>
          <w:rFonts w:cs="Arial"/>
          <w:b/>
          <w:bCs/>
          <w:szCs w:val="24"/>
        </w:rPr>
        <w:t xml:space="preserve"> (2019/20-2021/22)</w:t>
      </w:r>
    </w:p>
    <w:tbl>
      <w:tblPr>
        <w:tblW w:w="0" w:type="auto"/>
        <w:shd w:val="clear" w:color="auto" w:fill="FFFFFF" w:themeFill="background1"/>
        <w:tblLayout w:type="fixed"/>
        <w:tblLook w:val="04A0" w:firstRow="1" w:lastRow="0" w:firstColumn="1" w:lastColumn="0" w:noHBand="0" w:noVBand="1"/>
      </w:tblPr>
      <w:tblGrid>
        <w:gridCol w:w="1250"/>
        <w:gridCol w:w="5408"/>
        <w:gridCol w:w="1275"/>
        <w:gridCol w:w="1276"/>
        <w:gridCol w:w="1301"/>
        <w:gridCol w:w="1302"/>
        <w:gridCol w:w="1302"/>
        <w:gridCol w:w="1406"/>
      </w:tblGrid>
      <w:tr w:rsidR="0033517B" w:rsidRPr="002262E0" w14:paraId="1A45FDA7" w14:textId="77777777" w:rsidTr="002A73BE">
        <w:trPr>
          <w:trHeight w:val="600"/>
          <w:tblHeader/>
        </w:trPr>
        <w:tc>
          <w:tcPr>
            <w:tcW w:w="1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D47BE0B" w14:textId="77777777" w:rsidR="0033517B" w:rsidRPr="002262E0" w:rsidRDefault="0033517B" w:rsidP="002A73BE">
            <w:pPr>
              <w:jc w:val="center"/>
              <w:rPr>
                <w:rFonts w:cs="Arial"/>
                <w:b/>
                <w:bCs/>
                <w:sz w:val="20"/>
                <w:lang w:eastAsia="en-GB"/>
              </w:rPr>
            </w:pPr>
            <w:r w:rsidRPr="002262E0">
              <w:rPr>
                <w:rFonts w:cs="Arial"/>
                <w:b/>
                <w:bCs/>
                <w:sz w:val="20"/>
                <w:lang w:eastAsia="en-GB"/>
              </w:rPr>
              <w:t>Financial year</w:t>
            </w:r>
            <w:r>
              <w:rPr>
                <w:rFonts w:cs="Arial"/>
                <w:b/>
                <w:bCs/>
                <w:sz w:val="20"/>
                <w:lang w:eastAsia="en-GB"/>
              </w:rPr>
              <w:t xml:space="preserve"> (approved)</w:t>
            </w:r>
          </w:p>
        </w:tc>
        <w:tc>
          <w:tcPr>
            <w:tcW w:w="540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4528144" w14:textId="77777777" w:rsidR="0033517B" w:rsidRPr="002262E0" w:rsidRDefault="0033517B" w:rsidP="002A73BE">
            <w:pPr>
              <w:jc w:val="center"/>
              <w:rPr>
                <w:rFonts w:cs="Arial"/>
                <w:b/>
                <w:bCs/>
                <w:sz w:val="20"/>
                <w:lang w:eastAsia="en-GB"/>
              </w:rPr>
            </w:pPr>
            <w:r w:rsidRPr="002262E0">
              <w:rPr>
                <w:rFonts w:cs="Arial"/>
                <w:b/>
                <w:bCs/>
                <w:sz w:val="20"/>
                <w:lang w:eastAsia="en-GB"/>
              </w:rPr>
              <w:t>Description</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C35DC4E" w14:textId="77777777" w:rsidR="0033517B" w:rsidRPr="002262E0" w:rsidRDefault="0033517B" w:rsidP="002A73BE">
            <w:pPr>
              <w:jc w:val="center"/>
              <w:rPr>
                <w:rFonts w:cs="Arial"/>
                <w:b/>
                <w:bCs/>
                <w:sz w:val="20"/>
                <w:lang w:eastAsia="en-GB"/>
              </w:rPr>
            </w:pPr>
            <w:r w:rsidRPr="002262E0">
              <w:rPr>
                <w:rFonts w:cs="Arial"/>
                <w:b/>
                <w:bCs/>
                <w:sz w:val="20"/>
                <w:lang w:eastAsia="en-GB"/>
              </w:rPr>
              <w:t>BCIL</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9516492" w14:textId="77777777" w:rsidR="0033517B" w:rsidRPr="002262E0" w:rsidRDefault="0033517B" w:rsidP="002A73BE">
            <w:pPr>
              <w:jc w:val="center"/>
              <w:rPr>
                <w:rFonts w:cs="Arial"/>
                <w:b/>
                <w:bCs/>
                <w:sz w:val="20"/>
                <w:lang w:eastAsia="en-GB"/>
              </w:rPr>
            </w:pPr>
            <w:r w:rsidRPr="002262E0">
              <w:rPr>
                <w:rFonts w:cs="Arial"/>
                <w:b/>
                <w:bCs/>
                <w:sz w:val="20"/>
                <w:lang w:eastAsia="en-GB"/>
              </w:rPr>
              <w:t>NCIL</w:t>
            </w:r>
          </w:p>
        </w:tc>
        <w:tc>
          <w:tcPr>
            <w:tcW w:w="13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28BEC6A" w14:textId="77777777" w:rsidR="0033517B" w:rsidRPr="002262E0" w:rsidRDefault="0033517B" w:rsidP="002A73BE">
            <w:pPr>
              <w:jc w:val="center"/>
              <w:rPr>
                <w:rFonts w:cs="Arial"/>
                <w:b/>
                <w:bCs/>
                <w:sz w:val="20"/>
                <w:lang w:eastAsia="en-GB"/>
              </w:rPr>
            </w:pPr>
            <w:r w:rsidRPr="002262E0">
              <w:rPr>
                <w:rFonts w:cs="Arial"/>
                <w:b/>
                <w:bCs/>
                <w:sz w:val="20"/>
                <w:lang w:eastAsia="en-GB"/>
              </w:rPr>
              <w:t>19/20 Actual Exp</w:t>
            </w:r>
          </w:p>
        </w:tc>
        <w:tc>
          <w:tcPr>
            <w:tcW w:w="130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CF95AE7" w14:textId="77777777" w:rsidR="0033517B" w:rsidRPr="002262E0" w:rsidRDefault="0033517B" w:rsidP="002A73BE">
            <w:pPr>
              <w:jc w:val="center"/>
              <w:rPr>
                <w:rFonts w:cs="Arial"/>
                <w:b/>
                <w:bCs/>
                <w:sz w:val="20"/>
                <w:lang w:eastAsia="en-GB"/>
              </w:rPr>
            </w:pPr>
            <w:r w:rsidRPr="002262E0">
              <w:rPr>
                <w:rFonts w:cs="Arial"/>
                <w:b/>
                <w:bCs/>
                <w:sz w:val="20"/>
                <w:lang w:eastAsia="en-GB"/>
              </w:rPr>
              <w:t>20/21 Actual Exp</w:t>
            </w:r>
          </w:p>
        </w:tc>
        <w:tc>
          <w:tcPr>
            <w:tcW w:w="130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2112D5" w14:textId="77777777" w:rsidR="0033517B" w:rsidRPr="002262E0" w:rsidRDefault="0033517B" w:rsidP="002A73BE">
            <w:pPr>
              <w:jc w:val="center"/>
              <w:rPr>
                <w:rFonts w:cs="Arial"/>
                <w:b/>
                <w:bCs/>
                <w:sz w:val="20"/>
                <w:lang w:eastAsia="en-GB"/>
              </w:rPr>
            </w:pPr>
            <w:r w:rsidRPr="002262E0">
              <w:rPr>
                <w:rFonts w:cs="Arial"/>
                <w:b/>
                <w:bCs/>
                <w:sz w:val="20"/>
                <w:lang w:eastAsia="en-GB"/>
              </w:rPr>
              <w:t>21/22 Actual Exp</w:t>
            </w:r>
          </w:p>
        </w:tc>
        <w:tc>
          <w:tcPr>
            <w:tcW w:w="140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0DC30BA" w14:textId="77777777" w:rsidR="0033517B" w:rsidRPr="002262E0" w:rsidRDefault="0033517B" w:rsidP="002A73BE">
            <w:pPr>
              <w:jc w:val="center"/>
              <w:rPr>
                <w:rFonts w:cs="Arial"/>
                <w:b/>
                <w:bCs/>
                <w:sz w:val="20"/>
                <w:lang w:eastAsia="en-GB"/>
              </w:rPr>
            </w:pPr>
            <w:r w:rsidRPr="002262E0">
              <w:rPr>
                <w:rFonts w:cs="Arial"/>
                <w:b/>
                <w:bCs/>
                <w:sz w:val="20"/>
                <w:lang w:eastAsia="en-GB"/>
              </w:rPr>
              <w:t>Outstanding commitment</w:t>
            </w:r>
          </w:p>
        </w:tc>
      </w:tr>
      <w:tr w:rsidR="0033517B" w:rsidRPr="002262E0" w14:paraId="56B59F0A" w14:textId="77777777" w:rsidTr="002A73BE">
        <w:trPr>
          <w:trHeight w:val="3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A20BE59" w14:textId="77777777" w:rsidR="0033517B" w:rsidRPr="002262E0" w:rsidRDefault="0033517B" w:rsidP="002A73BE">
            <w:pPr>
              <w:jc w:val="center"/>
              <w:rPr>
                <w:rFonts w:cs="Arial"/>
                <w:sz w:val="20"/>
                <w:lang w:eastAsia="en-GB"/>
              </w:rPr>
            </w:pPr>
            <w:r w:rsidRPr="002262E0">
              <w:rPr>
                <w:rFonts w:cs="Arial"/>
                <w:sz w:val="20"/>
                <w:lang w:eastAsia="en-GB"/>
              </w:rPr>
              <w:t>2019/20</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253310AC" w14:textId="77777777" w:rsidR="0033517B" w:rsidRPr="002262E0" w:rsidRDefault="0033517B" w:rsidP="002A73BE">
            <w:pPr>
              <w:rPr>
                <w:rFonts w:cs="Arial"/>
                <w:sz w:val="20"/>
                <w:lang w:eastAsia="en-GB"/>
              </w:rPr>
            </w:pPr>
            <w:r w:rsidRPr="002262E0">
              <w:rPr>
                <w:rFonts w:cs="Arial"/>
                <w:sz w:val="20"/>
                <w:lang w:eastAsia="en-GB"/>
              </w:rPr>
              <w:t>Parks Infrastructure (Playground replacement)</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33135863" w14:textId="77777777" w:rsidR="0033517B" w:rsidRPr="002262E0" w:rsidRDefault="0033517B" w:rsidP="002A73BE">
            <w:pPr>
              <w:jc w:val="right"/>
              <w:rPr>
                <w:rFonts w:cs="Arial"/>
                <w:sz w:val="20"/>
                <w:lang w:eastAsia="en-GB"/>
              </w:rPr>
            </w:pPr>
            <w:r w:rsidRPr="002262E0">
              <w:rPr>
                <w:rFonts w:cs="Arial"/>
                <w:sz w:val="20"/>
                <w:lang w:eastAsia="en-GB"/>
              </w:rPr>
              <w:t>350,000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8328B26"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1610DCFA" w14:textId="77777777" w:rsidR="0033517B" w:rsidRPr="002262E0" w:rsidRDefault="0033517B" w:rsidP="002A73BE">
            <w:pPr>
              <w:jc w:val="right"/>
              <w:rPr>
                <w:rFonts w:cs="Arial"/>
                <w:sz w:val="20"/>
                <w:lang w:eastAsia="en-GB"/>
              </w:rPr>
            </w:pPr>
            <w:r w:rsidRPr="002262E0">
              <w:rPr>
                <w:rFonts w:cs="Arial"/>
                <w:sz w:val="20"/>
                <w:lang w:eastAsia="en-GB"/>
              </w:rPr>
              <w:t>227,458</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1FFA2C71" w14:textId="77777777" w:rsidR="0033517B" w:rsidRPr="002262E0" w:rsidRDefault="0033517B" w:rsidP="002A73BE">
            <w:pPr>
              <w:jc w:val="right"/>
              <w:rPr>
                <w:rFonts w:cs="Arial"/>
                <w:sz w:val="20"/>
                <w:lang w:eastAsia="en-GB"/>
              </w:rPr>
            </w:pPr>
            <w:r w:rsidRPr="002262E0">
              <w:rPr>
                <w:rFonts w:cs="Arial"/>
                <w:sz w:val="20"/>
                <w:lang w:eastAsia="en-GB"/>
              </w:rPr>
              <w:t>122,542</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5B879D10"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7CA1653C" w14:textId="77777777" w:rsidR="0033517B" w:rsidRPr="002262E0" w:rsidRDefault="0033517B" w:rsidP="002A73BE">
            <w:pPr>
              <w:jc w:val="right"/>
              <w:rPr>
                <w:rFonts w:cs="Arial"/>
                <w:sz w:val="20"/>
                <w:lang w:eastAsia="en-GB"/>
              </w:rPr>
            </w:pPr>
            <w:r w:rsidRPr="002262E0">
              <w:rPr>
                <w:rFonts w:cs="Arial"/>
                <w:sz w:val="20"/>
                <w:lang w:eastAsia="en-GB"/>
              </w:rPr>
              <w:t>0</w:t>
            </w:r>
          </w:p>
        </w:tc>
      </w:tr>
      <w:tr w:rsidR="0033517B" w:rsidRPr="002262E0" w14:paraId="04957203" w14:textId="77777777" w:rsidTr="002A73BE">
        <w:trPr>
          <w:trHeight w:val="3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0A3205F" w14:textId="77777777" w:rsidR="0033517B" w:rsidRPr="002262E0" w:rsidRDefault="0033517B" w:rsidP="002A73BE">
            <w:pPr>
              <w:jc w:val="center"/>
              <w:rPr>
                <w:rFonts w:cs="Arial"/>
                <w:sz w:val="20"/>
                <w:lang w:eastAsia="en-GB"/>
              </w:rPr>
            </w:pPr>
            <w:r w:rsidRPr="002262E0">
              <w:rPr>
                <w:rFonts w:cs="Arial"/>
                <w:sz w:val="20"/>
                <w:lang w:eastAsia="en-GB"/>
              </w:rPr>
              <w:t>2019/20</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5D1D98E7" w14:textId="77777777" w:rsidR="0033517B" w:rsidRPr="002262E0" w:rsidRDefault="0033517B" w:rsidP="002A73BE">
            <w:pPr>
              <w:rPr>
                <w:rFonts w:cs="Arial"/>
                <w:sz w:val="20"/>
                <w:lang w:eastAsia="en-GB"/>
              </w:rPr>
            </w:pPr>
            <w:r w:rsidRPr="002262E0">
              <w:rPr>
                <w:rFonts w:cs="Arial"/>
                <w:sz w:val="20"/>
                <w:lang w:eastAsia="en-GB"/>
              </w:rPr>
              <w:t>Harrow Arts Centre - refurbishment &amp; new build</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537FBF31" w14:textId="77777777" w:rsidR="0033517B" w:rsidRPr="002262E0" w:rsidRDefault="0033517B" w:rsidP="002A73BE">
            <w:pPr>
              <w:jc w:val="right"/>
              <w:rPr>
                <w:rFonts w:cs="Arial"/>
                <w:sz w:val="20"/>
                <w:lang w:eastAsia="en-GB"/>
              </w:rPr>
            </w:pPr>
            <w:r w:rsidRPr="002262E0">
              <w:rPr>
                <w:rFonts w:cs="Arial"/>
                <w:sz w:val="20"/>
                <w:lang w:eastAsia="en-GB"/>
              </w:rPr>
              <w:t>1,150,000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66D69C81"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523EFBAC" w14:textId="77777777" w:rsidR="0033517B" w:rsidRPr="002262E0" w:rsidRDefault="0033517B" w:rsidP="002A73BE">
            <w:pPr>
              <w:jc w:val="right"/>
              <w:rPr>
                <w:rFonts w:cs="Arial"/>
                <w:sz w:val="20"/>
                <w:lang w:eastAsia="en-GB"/>
              </w:rPr>
            </w:pPr>
            <w:r w:rsidRPr="002262E0">
              <w:rPr>
                <w:rFonts w:cs="Arial"/>
                <w:sz w:val="20"/>
                <w:lang w:eastAsia="en-GB"/>
              </w:rPr>
              <w:t>71,737</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5549C428" w14:textId="77777777" w:rsidR="0033517B" w:rsidRPr="002262E0" w:rsidRDefault="0033517B" w:rsidP="002A73BE">
            <w:pPr>
              <w:jc w:val="right"/>
              <w:rPr>
                <w:rFonts w:cs="Arial"/>
                <w:sz w:val="20"/>
                <w:lang w:eastAsia="en-GB"/>
              </w:rPr>
            </w:pPr>
            <w:r w:rsidRPr="002262E0">
              <w:rPr>
                <w:rFonts w:cs="Arial"/>
                <w:sz w:val="20"/>
                <w:lang w:eastAsia="en-GB"/>
              </w:rPr>
              <w:t>841,490</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09F72819" w14:textId="77777777" w:rsidR="0033517B" w:rsidRPr="002262E0" w:rsidRDefault="0033517B" w:rsidP="002A73BE">
            <w:pPr>
              <w:jc w:val="right"/>
              <w:rPr>
                <w:rFonts w:cs="Arial"/>
                <w:sz w:val="20"/>
                <w:lang w:eastAsia="en-GB"/>
              </w:rPr>
            </w:pPr>
            <w:r w:rsidRPr="002262E0">
              <w:rPr>
                <w:rFonts w:cs="Arial"/>
                <w:sz w:val="20"/>
                <w:lang w:eastAsia="en-GB"/>
              </w:rPr>
              <w:t>26,978</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69C9FA55" w14:textId="77777777" w:rsidR="0033517B" w:rsidRPr="002262E0" w:rsidRDefault="0033517B" w:rsidP="002A73BE">
            <w:pPr>
              <w:jc w:val="right"/>
              <w:rPr>
                <w:rFonts w:cs="Arial"/>
                <w:sz w:val="20"/>
                <w:lang w:eastAsia="en-GB"/>
              </w:rPr>
            </w:pPr>
            <w:r w:rsidRPr="002262E0">
              <w:rPr>
                <w:rFonts w:cs="Arial"/>
                <w:sz w:val="20"/>
                <w:lang w:eastAsia="en-GB"/>
              </w:rPr>
              <w:t>209,795</w:t>
            </w:r>
          </w:p>
        </w:tc>
      </w:tr>
      <w:tr w:rsidR="0033517B" w:rsidRPr="002262E0" w14:paraId="7CB3819F" w14:textId="77777777" w:rsidTr="002A73BE">
        <w:trPr>
          <w:trHeight w:val="289"/>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4439C7A" w14:textId="77777777" w:rsidR="0033517B" w:rsidRPr="002262E0" w:rsidRDefault="0033517B" w:rsidP="002A73BE">
            <w:pPr>
              <w:jc w:val="center"/>
              <w:rPr>
                <w:rFonts w:cs="Arial"/>
                <w:sz w:val="20"/>
                <w:lang w:eastAsia="en-GB"/>
              </w:rPr>
            </w:pPr>
            <w:r w:rsidRPr="002262E0">
              <w:rPr>
                <w:rFonts w:cs="Arial"/>
                <w:sz w:val="20"/>
                <w:lang w:eastAsia="en-GB"/>
              </w:rPr>
              <w:t>2019/20</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60D6E7C8" w14:textId="77777777" w:rsidR="0033517B" w:rsidRPr="002262E0" w:rsidRDefault="0033517B" w:rsidP="002A73BE">
            <w:pPr>
              <w:rPr>
                <w:rFonts w:cs="Arial"/>
                <w:sz w:val="20"/>
                <w:lang w:eastAsia="en-GB"/>
              </w:rPr>
            </w:pPr>
            <w:r w:rsidRPr="002262E0">
              <w:rPr>
                <w:rFonts w:cs="Arial"/>
                <w:sz w:val="20"/>
                <w:lang w:eastAsia="en-GB"/>
              </w:rPr>
              <w:t>Weald Village play</w:t>
            </w:r>
            <w:r>
              <w:rPr>
                <w:rFonts w:cs="Arial"/>
                <w:sz w:val="20"/>
                <w:lang w:eastAsia="en-GB"/>
              </w:rPr>
              <w:t>g</w:t>
            </w:r>
            <w:r w:rsidRPr="002262E0">
              <w:rPr>
                <w:rFonts w:cs="Arial"/>
                <w:sz w:val="20"/>
                <w:lang w:eastAsia="en-GB"/>
              </w:rPr>
              <w:t>round equipment</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2F86E06A"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645C068A" w14:textId="77777777" w:rsidR="0033517B" w:rsidRPr="002262E0" w:rsidRDefault="0033517B" w:rsidP="002A73BE">
            <w:pPr>
              <w:jc w:val="right"/>
              <w:rPr>
                <w:rFonts w:cs="Arial"/>
                <w:sz w:val="20"/>
                <w:lang w:eastAsia="en-GB"/>
              </w:rPr>
            </w:pPr>
            <w:r w:rsidRPr="002262E0">
              <w:rPr>
                <w:rFonts w:cs="Arial"/>
                <w:sz w:val="20"/>
                <w:lang w:eastAsia="en-GB"/>
              </w:rPr>
              <w:t>17,871</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3973D9A3"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2C712592"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0BBB2656"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25BA71FB" w14:textId="77777777" w:rsidR="0033517B" w:rsidRPr="002262E0" w:rsidRDefault="0033517B" w:rsidP="002A73BE">
            <w:pPr>
              <w:jc w:val="right"/>
              <w:rPr>
                <w:rFonts w:cs="Arial"/>
                <w:sz w:val="20"/>
                <w:lang w:eastAsia="en-GB"/>
              </w:rPr>
            </w:pPr>
            <w:r w:rsidRPr="002262E0">
              <w:rPr>
                <w:rFonts w:cs="Arial"/>
                <w:sz w:val="20"/>
                <w:lang w:eastAsia="en-GB"/>
              </w:rPr>
              <w:t>17,871</w:t>
            </w:r>
          </w:p>
        </w:tc>
      </w:tr>
      <w:tr w:rsidR="0033517B" w:rsidRPr="002262E0" w14:paraId="4991263D" w14:textId="77777777" w:rsidTr="002A73BE">
        <w:trPr>
          <w:trHeight w:val="3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D80AFFE" w14:textId="77777777" w:rsidR="0033517B" w:rsidRPr="002262E0" w:rsidRDefault="0033517B" w:rsidP="002A73BE">
            <w:pPr>
              <w:jc w:val="center"/>
              <w:rPr>
                <w:rFonts w:cs="Arial"/>
                <w:sz w:val="20"/>
                <w:lang w:eastAsia="en-GB"/>
              </w:rPr>
            </w:pPr>
            <w:r w:rsidRPr="002262E0">
              <w:rPr>
                <w:rFonts w:cs="Arial"/>
                <w:sz w:val="20"/>
                <w:lang w:eastAsia="en-GB"/>
              </w:rPr>
              <w:t>2019/20</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1CEC673C" w14:textId="77777777" w:rsidR="0033517B" w:rsidRPr="002262E0" w:rsidRDefault="0033517B" w:rsidP="002A73BE">
            <w:pPr>
              <w:rPr>
                <w:rFonts w:cs="Arial"/>
                <w:sz w:val="20"/>
                <w:lang w:eastAsia="en-GB"/>
              </w:rPr>
            </w:pPr>
            <w:r w:rsidRPr="002262E0">
              <w:rPr>
                <w:rFonts w:cs="Arial"/>
                <w:sz w:val="20"/>
                <w:lang w:eastAsia="en-GB"/>
              </w:rPr>
              <w:t>Sudbury Hill step-free access</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344138F9" w14:textId="77777777" w:rsidR="0033517B" w:rsidRPr="002262E0" w:rsidRDefault="0033517B" w:rsidP="002A73BE">
            <w:pPr>
              <w:jc w:val="right"/>
              <w:rPr>
                <w:rFonts w:cs="Arial"/>
                <w:sz w:val="20"/>
                <w:lang w:eastAsia="en-GB"/>
              </w:rPr>
            </w:pPr>
            <w:r w:rsidRPr="002262E0">
              <w:rPr>
                <w:rFonts w:cs="Arial"/>
                <w:sz w:val="20"/>
                <w:lang w:eastAsia="en-GB"/>
              </w:rPr>
              <w:t>50,000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5336992"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6065D9F5"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3E6776A1"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223EC42C"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5CF8A2FA" w14:textId="77777777" w:rsidR="0033517B" w:rsidRPr="002262E0" w:rsidRDefault="0033517B" w:rsidP="002A73BE">
            <w:pPr>
              <w:jc w:val="right"/>
              <w:rPr>
                <w:rFonts w:cs="Arial"/>
                <w:sz w:val="20"/>
                <w:lang w:eastAsia="en-GB"/>
              </w:rPr>
            </w:pPr>
            <w:r w:rsidRPr="002262E0">
              <w:rPr>
                <w:rFonts w:cs="Arial"/>
                <w:sz w:val="20"/>
                <w:lang w:eastAsia="en-GB"/>
              </w:rPr>
              <w:t>50,000</w:t>
            </w:r>
          </w:p>
        </w:tc>
      </w:tr>
      <w:tr w:rsidR="0033517B" w:rsidRPr="002262E0" w14:paraId="3999D24D" w14:textId="77777777" w:rsidTr="002A73BE">
        <w:trPr>
          <w:trHeight w:val="3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074CEB2" w14:textId="77777777" w:rsidR="0033517B" w:rsidRPr="002262E0" w:rsidRDefault="0033517B" w:rsidP="002A73BE">
            <w:pPr>
              <w:jc w:val="center"/>
              <w:rPr>
                <w:rFonts w:cs="Arial"/>
                <w:sz w:val="20"/>
                <w:lang w:eastAsia="en-GB"/>
              </w:rPr>
            </w:pPr>
            <w:r w:rsidRPr="002262E0">
              <w:rPr>
                <w:rFonts w:cs="Arial"/>
                <w:sz w:val="20"/>
                <w:lang w:eastAsia="en-GB"/>
              </w:rPr>
              <w:t>2019/20</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7C2A6903" w14:textId="77777777" w:rsidR="0033517B" w:rsidRPr="002262E0" w:rsidRDefault="0033517B" w:rsidP="002A73BE">
            <w:pPr>
              <w:rPr>
                <w:rFonts w:cs="Arial"/>
                <w:sz w:val="20"/>
                <w:lang w:eastAsia="en-GB"/>
              </w:rPr>
            </w:pPr>
            <w:r w:rsidRPr="002262E0">
              <w:rPr>
                <w:rFonts w:cs="Arial"/>
                <w:sz w:val="20"/>
                <w:lang w:eastAsia="en-GB"/>
              </w:rPr>
              <w:t>Flood Defence</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020B9CF1" w14:textId="77777777" w:rsidR="0033517B" w:rsidRPr="002262E0" w:rsidRDefault="0033517B" w:rsidP="002A73BE">
            <w:pPr>
              <w:jc w:val="right"/>
              <w:rPr>
                <w:rFonts w:cs="Arial"/>
                <w:sz w:val="20"/>
                <w:lang w:eastAsia="en-GB"/>
              </w:rPr>
            </w:pPr>
            <w:r w:rsidRPr="002262E0">
              <w:rPr>
                <w:rFonts w:cs="Arial"/>
                <w:sz w:val="20"/>
                <w:lang w:eastAsia="en-GB"/>
              </w:rPr>
              <w:t>300,000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12907EFA"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4C6403DB" w14:textId="77777777" w:rsidR="0033517B" w:rsidRPr="002262E0" w:rsidRDefault="0033517B" w:rsidP="002A73BE">
            <w:pPr>
              <w:jc w:val="right"/>
              <w:rPr>
                <w:rFonts w:cs="Arial"/>
                <w:sz w:val="20"/>
                <w:lang w:eastAsia="en-GB"/>
              </w:rPr>
            </w:pPr>
            <w:r w:rsidRPr="002262E0">
              <w:rPr>
                <w:rFonts w:cs="Arial"/>
                <w:sz w:val="20"/>
                <w:lang w:eastAsia="en-GB"/>
              </w:rPr>
              <w:t>300,000</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33F4BA88"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4EA4C24E"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21BF0E71" w14:textId="77777777" w:rsidR="0033517B" w:rsidRPr="002262E0" w:rsidRDefault="0033517B" w:rsidP="002A73BE">
            <w:pPr>
              <w:jc w:val="right"/>
              <w:rPr>
                <w:rFonts w:cs="Arial"/>
                <w:sz w:val="20"/>
                <w:lang w:eastAsia="en-GB"/>
              </w:rPr>
            </w:pPr>
            <w:r w:rsidRPr="002262E0">
              <w:rPr>
                <w:rFonts w:cs="Arial"/>
                <w:sz w:val="20"/>
                <w:lang w:eastAsia="en-GB"/>
              </w:rPr>
              <w:t>0</w:t>
            </w:r>
          </w:p>
        </w:tc>
      </w:tr>
      <w:tr w:rsidR="0033517B" w:rsidRPr="002262E0" w14:paraId="25255A23" w14:textId="77777777" w:rsidTr="002A73BE">
        <w:trPr>
          <w:trHeight w:val="3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D25B83A" w14:textId="77777777" w:rsidR="0033517B" w:rsidRPr="002262E0" w:rsidRDefault="0033517B" w:rsidP="002A73BE">
            <w:pPr>
              <w:jc w:val="center"/>
              <w:rPr>
                <w:rFonts w:cs="Arial"/>
                <w:sz w:val="20"/>
                <w:lang w:eastAsia="en-GB"/>
              </w:rPr>
            </w:pPr>
            <w:r w:rsidRPr="002262E0">
              <w:rPr>
                <w:rFonts w:cs="Arial"/>
                <w:sz w:val="20"/>
                <w:lang w:eastAsia="en-GB"/>
              </w:rPr>
              <w:t>2019/20</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0B196443" w14:textId="77777777" w:rsidR="0033517B" w:rsidRPr="002262E0" w:rsidRDefault="0033517B" w:rsidP="002A73BE">
            <w:pPr>
              <w:rPr>
                <w:rFonts w:cs="Arial"/>
                <w:sz w:val="20"/>
                <w:lang w:eastAsia="en-GB"/>
              </w:rPr>
            </w:pPr>
            <w:r w:rsidRPr="002262E0">
              <w:rPr>
                <w:rFonts w:cs="Arial"/>
                <w:sz w:val="20"/>
                <w:lang w:eastAsia="en-GB"/>
              </w:rPr>
              <w:t>Highway Drainage</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682813FD" w14:textId="77777777" w:rsidR="0033517B" w:rsidRPr="002262E0" w:rsidRDefault="0033517B" w:rsidP="002A73BE">
            <w:pPr>
              <w:jc w:val="right"/>
              <w:rPr>
                <w:rFonts w:cs="Arial"/>
                <w:sz w:val="20"/>
                <w:lang w:eastAsia="en-GB"/>
              </w:rPr>
            </w:pPr>
            <w:r w:rsidRPr="002262E0">
              <w:rPr>
                <w:rFonts w:cs="Arial"/>
                <w:sz w:val="20"/>
                <w:lang w:eastAsia="en-GB"/>
              </w:rPr>
              <w:t>200,000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6493ACD8"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105AD5CE" w14:textId="77777777" w:rsidR="0033517B" w:rsidRPr="002262E0" w:rsidRDefault="0033517B" w:rsidP="002A73BE">
            <w:pPr>
              <w:jc w:val="right"/>
              <w:rPr>
                <w:rFonts w:cs="Arial"/>
                <w:sz w:val="20"/>
                <w:lang w:eastAsia="en-GB"/>
              </w:rPr>
            </w:pPr>
            <w:r w:rsidRPr="002262E0">
              <w:rPr>
                <w:rFonts w:cs="Arial"/>
                <w:sz w:val="20"/>
                <w:lang w:eastAsia="en-GB"/>
              </w:rPr>
              <w:t>199,999</w:t>
            </w:r>
          </w:p>
        </w:tc>
        <w:tc>
          <w:tcPr>
            <w:tcW w:w="1302" w:type="dxa"/>
            <w:tcBorders>
              <w:top w:val="nil"/>
              <w:left w:val="nil"/>
              <w:bottom w:val="nil"/>
              <w:right w:val="single" w:sz="4" w:space="0" w:color="auto"/>
            </w:tcBorders>
            <w:shd w:val="clear" w:color="auto" w:fill="FFFFFF" w:themeFill="background1"/>
            <w:noWrap/>
            <w:vAlign w:val="center"/>
            <w:hideMark/>
          </w:tcPr>
          <w:p w14:paraId="07C8F291" w14:textId="77777777" w:rsidR="0033517B" w:rsidRPr="002262E0" w:rsidRDefault="0033517B" w:rsidP="002A73BE">
            <w:pPr>
              <w:jc w:val="right"/>
              <w:rPr>
                <w:rFonts w:cs="Arial"/>
                <w:sz w:val="20"/>
                <w:lang w:eastAsia="en-GB"/>
              </w:rPr>
            </w:pPr>
          </w:p>
        </w:tc>
        <w:tc>
          <w:tcPr>
            <w:tcW w:w="1302"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430E5707" w14:textId="77777777" w:rsidR="0033517B" w:rsidRPr="002262E0" w:rsidRDefault="0033517B" w:rsidP="002A73BE">
            <w:pPr>
              <w:jc w:val="right"/>
              <w:rPr>
                <w:rFonts w:cs="Arial"/>
                <w:sz w:val="20"/>
                <w:lang w:eastAsia="en-GB"/>
              </w:rPr>
            </w:pPr>
          </w:p>
        </w:tc>
        <w:tc>
          <w:tcPr>
            <w:tcW w:w="140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82D83C8" w14:textId="77777777" w:rsidR="0033517B" w:rsidRPr="002262E0" w:rsidRDefault="0033517B" w:rsidP="002A73BE">
            <w:pPr>
              <w:jc w:val="right"/>
              <w:rPr>
                <w:rFonts w:cs="Arial"/>
                <w:sz w:val="20"/>
                <w:lang w:eastAsia="en-GB"/>
              </w:rPr>
            </w:pPr>
            <w:r w:rsidRPr="002262E0">
              <w:rPr>
                <w:rFonts w:cs="Arial"/>
                <w:sz w:val="20"/>
                <w:lang w:eastAsia="en-GB"/>
              </w:rPr>
              <w:t>1</w:t>
            </w:r>
          </w:p>
        </w:tc>
      </w:tr>
      <w:tr w:rsidR="0033517B" w:rsidRPr="002262E0" w14:paraId="3929A55F" w14:textId="77777777" w:rsidTr="002A73BE">
        <w:trPr>
          <w:trHeight w:val="3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4FFB953" w14:textId="77777777" w:rsidR="0033517B" w:rsidRPr="002262E0" w:rsidRDefault="0033517B" w:rsidP="002A73BE">
            <w:pPr>
              <w:jc w:val="center"/>
              <w:rPr>
                <w:rFonts w:cs="Arial"/>
                <w:sz w:val="20"/>
                <w:lang w:eastAsia="en-GB"/>
              </w:rPr>
            </w:pPr>
            <w:r w:rsidRPr="002262E0">
              <w:rPr>
                <w:rFonts w:cs="Arial"/>
                <w:sz w:val="20"/>
                <w:lang w:eastAsia="en-GB"/>
              </w:rPr>
              <w:t>2019/20</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01755902" w14:textId="77777777" w:rsidR="0033517B" w:rsidRPr="002262E0" w:rsidRDefault="0033517B" w:rsidP="002A73BE">
            <w:pPr>
              <w:rPr>
                <w:rFonts w:cs="Arial"/>
                <w:sz w:val="20"/>
                <w:lang w:eastAsia="en-GB"/>
              </w:rPr>
            </w:pPr>
            <w:r w:rsidRPr="002262E0">
              <w:rPr>
                <w:rFonts w:cs="Arial"/>
                <w:sz w:val="20"/>
                <w:lang w:eastAsia="en-GB"/>
              </w:rPr>
              <w:t>Green Grid</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0DE44984" w14:textId="77777777" w:rsidR="0033517B" w:rsidRPr="002262E0" w:rsidRDefault="0033517B" w:rsidP="002A73BE">
            <w:pPr>
              <w:jc w:val="right"/>
              <w:rPr>
                <w:rFonts w:cs="Arial"/>
                <w:sz w:val="20"/>
                <w:lang w:eastAsia="en-GB"/>
              </w:rPr>
            </w:pPr>
            <w:r w:rsidRPr="002262E0">
              <w:rPr>
                <w:rFonts w:cs="Arial"/>
                <w:sz w:val="20"/>
                <w:lang w:eastAsia="en-GB"/>
              </w:rPr>
              <w:t>75,000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9E511BE"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33E65B43" w14:textId="77777777" w:rsidR="0033517B" w:rsidRPr="002262E0" w:rsidRDefault="0033517B" w:rsidP="002A73BE">
            <w:pPr>
              <w:jc w:val="right"/>
              <w:rPr>
                <w:rFonts w:cs="Arial"/>
                <w:sz w:val="20"/>
                <w:lang w:eastAsia="en-GB"/>
              </w:rPr>
            </w:pPr>
            <w:r w:rsidRPr="002262E0">
              <w:rPr>
                <w:rFonts w:cs="Arial"/>
                <w:sz w:val="20"/>
                <w:lang w:eastAsia="en-GB"/>
              </w:rPr>
              <w:t>39,761</w:t>
            </w:r>
          </w:p>
        </w:tc>
        <w:tc>
          <w:tcPr>
            <w:tcW w:w="130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747E222" w14:textId="77777777" w:rsidR="0033517B" w:rsidRPr="002262E0" w:rsidRDefault="0033517B" w:rsidP="002A73BE">
            <w:pPr>
              <w:jc w:val="right"/>
              <w:rPr>
                <w:rFonts w:cs="Arial"/>
                <w:sz w:val="20"/>
                <w:lang w:eastAsia="en-GB"/>
              </w:rPr>
            </w:pPr>
            <w:r w:rsidRPr="002262E0">
              <w:rPr>
                <w:rFonts w:cs="Arial"/>
                <w:sz w:val="20"/>
                <w:lang w:eastAsia="en-GB"/>
              </w:rPr>
              <w:t>35,239</w:t>
            </w:r>
          </w:p>
        </w:tc>
        <w:tc>
          <w:tcPr>
            <w:tcW w:w="130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BBB0ACF"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219A57DE" w14:textId="77777777" w:rsidR="0033517B" w:rsidRPr="002262E0" w:rsidRDefault="0033517B" w:rsidP="002A73BE">
            <w:pPr>
              <w:jc w:val="right"/>
              <w:rPr>
                <w:rFonts w:cs="Arial"/>
                <w:sz w:val="20"/>
                <w:lang w:eastAsia="en-GB"/>
              </w:rPr>
            </w:pPr>
            <w:r w:rsidRPr="002262E0">
              <w:rPr>
                <w:rFonts w:cs="Arial"/>
                <w:sz w:val="20"/>
                <w:lang w:eastAsia="en-GB"/>
              </w:rPr>
              <w:t>0</w:t>
            </w:r>
          </w:p>
        </w:tc>
      </w:tr>
      <w:tr w:rsidR="0033517B" w:rsidRPr="002262E0" w14:paraId="072F529B" w14:textId="77777777" w:rsidTr="002A73BE">
        <w:trPr>
          <w:trHeight w:val="289"/>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DB9F4CF" w14:textId="77777777" w:rsidR="0033517B" w:rsidRPr="002262E0" w:rsidRDefault="0033517B" w:rsidP="002A73BE">
            <w:pPr>
              <w:jc w:val="center"/>
              <w:rPr>
                <w:rFonts w:cs="Arial"/>
                <w:sz w:val="20"/>
                <w:lang w:eastAsia="en-GB"/>
              </w:rPr>
            </w:pPr>
            <w:r w:rsidRPr="002262E0">
              <w:rPr>
                <w:rFonts w:cs="Arial"/>
                <w:sz w:val="20"/>
                <w:lang w:eastAsia="en-GB"/>
              </w:rPr>
              <w:t>2019/20</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31F16957" w14:textId="77777777" w:rsidR="0033517B" w:rsidRPr="002262E0" w:rsidRDefault="0033517B" w:rsidP="002A73BE">
            <w:pPr>
              <w:rPr>
                <w:rFonts w:cs="Arial"/>
                <w:sz w:val="20"/>
                <w:lang w:eastAsia="en-GB"/>
              </w:rPr>
            </w:pPr>
            <w:r w:rsidRPr="002262E0">
              <w:rPr>
                <w:rFonts w:cs="Arial"/>
                <w:sz w:val="20"/>
                <w:lang w:eastAsia="en-GB"/>
              </w:rPr>
              <w:t>New Town Centre Library</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1562F4AB" w14:textId="77777777" w:rsidR="0033517B" w:rsidRPr="002262E0" w:rsidRDefault="0033517B" w:rsidP="002A73BE">
            <w:pPr>
              <w:jc w:val="right"/>
              <w:rPr>
                <w:rFonts w:cs="Arial"/>
                <w:sz w:val="20"/>
                <w:lang w:eastAsia="en-GB"/>
              </w:rPr>
            </w:pPr>
            <w:r w:rsidRPr="002262E0">
              <w:rPr>
                <w:rFonts w:cs="Arial"/>
                <w:sz w:val="20"/>
                <w:lang w:eastAsia="en-GB"/>
              </w:rPr>
              <w:t>2,090,000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1050F13B"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0C432540" w14:textId="77777777" w:rsidR="0033517B" w:rsidRPr="002262E0" w:rsidRDefault="0033517B" w:rsidP="002A73BE">
            <w:pPr>
              <w:jc w:val="right"/>
              <w:rPr>
                <w:rFonts w:cs="Arial"/>
                <w:sz w:val="20"/>
                <w:lang w:eastAsia="en-GB"/>
              </w:rPr>
            </w:pPr>
            <w:r w:rsidRPr="002262E0">
              <w:rPr>
                <w:rFonts w:cs="Arial"/>
                <w:sz w:val="20"/>
                <w:lang w:eastAsia="en-GB"/>
              </w:rPr>
              <w:t>1,569,662</w:t>
            </w:r>
          </w:p>
        </w:tc>
        <w:tc>
          <w:tcPr>
            <w:tcW w:w="130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6F8C04D" w14:textId="77777777" w:rsidR="0033517B" w:rsidRPr="002262E0" w:rsidRDefault="0033517B" w:rsidP="002A73BE">
            <w:pPr>
              <w:jc w:val="right"/>
              <w:rPr>
                <w:rFonts w:cs="Arial"/>
                <w:sz w:val="20"/>
                <w:lang w:eastAsia="en-GB"/>
              </w:rPr>
            </w:pPr>
            <w:r w:rsidRPr="002262E0">
              <w:rPr>
                <w:rFonts w:cs="Arial"/>
                <w:sz w:val="20"/>
                <w:lang w:eastAsia="en-GB"/>
              </w:rPr>
              <w:t>520,338</w:t>
            </w:r>
          </w:p>
        </w:tc>
        <w:tc>
          <w:tcPr>
            <w:tcW w:w="1302"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0FF5F85B" w14:textId="77777777" w:rsidR="0033517B" w:rsidRPr="002262E0" w:rsidRDefault="0033517B" w:rsidP="002A73BE">
            <w:pPr>
              <w:jc w:val="right"/>
              <w:rPr>
                <w:rFonts w:cs="Arial"/>
                <w:sz w:val="20"/>
                <w:lang w:eastAsia="en-GB"/>
              </w:rPr>
            </w:pPr>
          </w:p>
        </w:tc>
        <w:tc>
          <w:tcPr>
            <w:tcW w:w="140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A457F3E" w14:textId="77777777" w:rsidR="0033517B" w:rsidRPr="002262E0" w:rsidRDefault="0033517B" w:rsidP="002A73BE">
            <w:pPr>
              <w:jc w:val="right"/>
              <w:rPr>
                <w:rFonts w:cs="Arial"/>
                <w:sz w:val="20"/>
                <w:lang w:eastAsia="en-GB"/>
              </w:rPr>
            </w:pPr>
            <w:r w:rsidRPr="002262E0">
              <w:rPr>
                <w:rFonts w:cs="Arial"/>
                <w:sz w:val="20"/>
                <w:lang w:eastAsia="en-GB"/>
              </w:rPr>
              <w:t>0</w:t>
            </w:r>
          </w:p>
        </w:tc>
      </w:tr>
      <w:tr w:rsidR="0033517B" w:rsidRPr="002262E0" w14:paraId="111C3467" w14:textId="77777777" w:rsidTr="002A73BE">
        <w:trPr>
          <w:trHeight w:val="3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D80B90F" w14:textId="77777777" w:rsidR="0033517B" w:rsidRPr="002262E0" w:rsidRDefault="0033517B" w:rsidP="002A73BE">
            <w:pPr>
              <w:jc w:val="center"/>
              <w:rPr>
                <w:rFonts w:cs="Arial"/>
                <w:sz w:val="20"/>
                <w:lang w:eastAsia="en-GB"/>
              </w:rPr>
            </w:pPr>
            <w:r w:rsidRPr="002262E0">
              <w:rPr>
                <w:rFonts w:cs="Arial"/>
                <w:sz w:val="20"/>
                <w:lang w:eastAsia="en-GB"/>
              </w:rPr>
              <w:t>2019/20</w:t>
            </w:r>
          </w:p>
        </w:tc>
        <w:tc>
          <w:tcPr>
            <w:tcW w:w="5408" w:type="dxa"/>
            <w:tcBorders>
              <w:top w:val="nil"/>
              <w:left w:val="nil"/>
              <w:bottom w:val="single" w:sz="4" w:space="0" w:color="auto"/>
              <w:right w:val="single" w:sz="4" w:space="0" w:color="auto"/>
            </w:tcBorders>
            <w:shd w:val="clear" w:color="auto" w:fill="FFFFFF" w:themeFill="background1"/>
            <w:vAlign w:val="center"/>
            <w:hideMark/>
          </w:tcPr>
          <w:p w14:paraId="0E48497F" w14:textId="77777777" w:rsidR="0033517B" w:rsidRPr="002262E0" w:rsidRDefault="0033517B" w:rsidP="002A73BE">
            <w:pPr>
              <w:rPr>
                <w:rFonts w:cs="Arial"/>
                <w:sz w:val="20"/>
                <w:lang w:eastAsia="en-GB"/>
              </w:rPr>
            </w:pPr>
            <w:r w:rsidRPr="002262E0">
              <w:rPr>
                <w:rFonts w:cs="Arial"/>
                <w:sz w:val="20"/>
                <w:lang w:eastAsia="en-GB"/>
              </w:rPr>
              <w:t>Canons Ward - Various infrastructure improvements</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063846D6"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8022DF9" w14:textId="77777777" w:rsidR="0033517B" w:rsidRPr="002262E0" w:rsidRDefault="0033517B" w:rsidP="002A73BE">
            <w:pPr>
              <w:jc w:val="right"/>
              <w:rPr>
                <w:rFonts w:cs="Arial"/>
                <w:sz w:val="20"/>
                <w:lang w:eastAsia="en-GB"/>
              </w:rPr>
            </w:pPr>
            <w:r w:rsidRPr="002262E0">
              <w:rPr>
                <w:rFonts w:cs="Arial"/>
                <w:sz w:val="20"/>
                <w:lang w:eastAsia="en-GB"/>
              </w:rPr>
              <w:t>£211,424</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46AA8611" w14:textId="77777777" w:rsidR="0033517B" w:rsidRPr="002262E0" w:rsidRDefault="0033517B" w:rsidP="002A73BE">
            <w:pPr>
              <w:jc w:val="right"/>
              <w:rPr>
                <w:rFonts w:cs="Arial"/>
                <w:sz w:val="20"/>
                <w:lang w:eastAsia="en-GB"/>
              </w:rPr>
            </w:pPr>
            <w:r w:rsidRPr="002262E0">
              <w:rPr>
                <w:rFonts w:cs="Arial"/>
                <w:sz w:val="20"/>
                <w:lang w:eastAsia="en-GB"/>
              </w:rPr>
              <w:t>211,423</w:t>
            </w:r>
          </w:p>
        </w:tc>
        <w:tc>
          <w:tcPr>
            <w:tcW w:w="130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6E62780"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6860D81"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2FC0C397" w14:textId="77777777" w:rsidR="0033517B" w:rsidRPr="002262E0" w:rsidRDefault="0033517B" w:rsidP="002A73BE">
            <w:pPr>
              <w:jc w:val="right"/>
              <w:rPr>
                <w:rFonts w:cs="Arial"/>
                <w:sz w:val="20"/>
                <w:lang w:eastAsia="en-GB"/>
              </w:rPr>
            </w:pPr>
            <w:r w:rsidRPr="002262E0">
              <w:rPr>
                <w:rFonts w:cs="Arial"/>
                <w:sz w:val="20"/>
                <w:lang w:eastAsia="en-GB"/>
              </w:rPr>
              <w:t>1</w:t>
            </w:r>
          </w:p>
        </w:tc>
      </w:tr>
      <w:tr w:rsidR="0033517B" w:rsidRPr="002262E0" w14:paraId="5827AE59" w14:textId="77777777" w:rsidTr="002A73BE">
        <w:trPr>
          <w:trHeight w:val="289"/>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212FDE8" w14:textId="77777777" w:rsidR="0033517B" w:rsidRPr="002262E0" w:rsidRDefault="0033517B" w:rsidP="002A73BE">
            <w:pPr>
              <w:jc w:val="center"/>
              <w:rPr>
                <w:rFonts w:cs="Arial"/>
                <w:sz w:val="20"/>
                <w:lang w:eastAsia="en-GB"/>
              </w:rPr>
            </w:pPr>
            <w:r w:rsidRPr="002262E0">
              <w:rPr>
                <w:rFonts w:cs="Arial"/>
                <w:sz w:val="20"/>
                <w:lang w:eastAsia="en-GB"/>
              </w:rPr>
              <w:t>2019/20</w:t>
            </w:r>
          </w:p>
        </w:tc>
        <w:tc>
          <w:tcPr>
            <w:tcW w:w="5408" w:type="dxa"/>
            <w:tcBorders>
              <w:top w:val="nil"/>
              <w:left w:val="nil"/>
              <w:bottom w:val="single" w:sz="4" w:space="0" w:color="auto"/>
              <w:right w:val="single" w:sz="4" w:space="0" w:color="auto"/>
            </w:tcBorders>
            <w:shd w:val="clear" w:color="auto" w:fill="FFFFFF" w:themeFill="background1"/>
            <w:vAlign w:val="center"/>
            <w:hideMark/>
          </w:tcPr>
          <w:p w14:paraId="2DA36062" w14:textId="77777777" w:rsidR="0033517B" w:rsidRPr="002262E0" w:rsidRDefault="0033517B" w:rsidP="002A73BE">
            <w:pPr>
              <w:rPr>
                <w:rFonts w:cs="Arial"/>
                <w:sz w:val="20"/>
                <w:lang w:eastAsia="en-GB"/>
              </w:rPr>
            </w:pPr>
            <w:r w:rsidRPr="002262E0">
              <w:rPr>
                <w:rFonts w:cs="Arial"/>
                <w:sz w:val="20"/>
                <w:lang w:eastAsia="en-GB"/>
              </w:rPr>
              <w:t>Stanmore Ward - Various infrastructure improvements</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6FB564CB"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1CE8C4BF" w14:textId="77777777" w:rsidR="0033517B" w:rsidRPr="002262E0" w:rsidRDefault="0033517B" w:rsidP="002A73BE">
            <w:pPr>
              <w:jc w:val="right"/>
              <w:rPr>
                <w:rFonts w:cs="Arial"/>
                <w:sz w:val="20"/>
                <w:lang w:eastAsia="en-GB"/>
              </w:rPr>
            </w:pPr>
            <w:r w:rsidRPr="002262E0">
              <w:rPr>
                <w:rFonts w:cs="Arial"/>
                <w:sz w:val="20"/>
                <w:lang w:eastAsia="en-GB"/>
              </w:rPr>
              <w:t>£134,642</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28D096C0" w14:textId="77777777" w:rsidR="0033517B" w:rsidRPr="002262E0" w:rsidRDefault="0033517B" w:rsidP="002A73BE">
            <w:pPr>
              <w:jc w:val="right"/>
              <w:rPr>
                <w:rFonts w:cs="Arial"/>
                <w:sz w:val="20"/>
                <w:lang w:eastAsia="en-GB"/>
              </w:rPr>
            </w:pPr>
            <w:r w:rsidRPr="002262E0">
              <w:rPr>
                <w:rFonts w:cs="Arial"/>
                <w:sz w:val="20"/>
                <w:lang w:eastAsia="en-GB"/>
              </w:rPr>
              <w:t>108,316</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6534028A" w14:textId="77777777" w:rsidR="0033517B" w:rsidRPr="002262E0" w:rsidRDefault="0033517B" w:rsidP="002A73BE">
            <w:pPr>
              <w:jc w:val="right"/>
              <w:rPr>
                <w:rFonts w:cs="Arial"/>
                <w:sz w:val="20"/>
                <w:lang w:eastAsia="en-GB"/>
              </w:rPr>
            </w:pPr>
            <w:r w:rsidRPr="002262E0">
              <w:rPr>
                <w:rFonts w:cs="Arial"/>
                <w:sz w:val="20"/>
                <w:lang w:eastAsia="en-GB"/>
              </w:rPr>
              <w:t>6,615</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17524A37"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4AF5F0E7" w14:textId="77777777" w:rsidR="0033517B" w:rsidRPr="002262E0" w:rsidRDefault="0033517B" w:rsidP="002A73BE">
            <w:pPr>
              <w:jc w:val="right"/>
              <w:rPr>
                <w:rFonts w:cs="Arial"/>
                <w:sz w:val="20"/>
                <w:lang w:eastAsia="en-GB"/>
              </w:rPr>
            </w:pPr>
            <w:r w:rsidRPr="002262E0">
              <w:rPr>
                <w:rFonts w:cs="Arial"/>
                <w:sz w:val="20"/>
                <w:lang w:eastAsia="en-GB"/>
              </w:rPr>
              <w:t>19,711</w:t>
            </w:r>
          </w:p>
        </w:tc>
      </w:tr>
      <w:tr w:rsidR="0033517B" w:rsidRPr="002262E0" w14:paraId="517AB83D" w14:textId="77777777" w:rsidTr="002A73BE">
        <w:trPr>
          <w:trHeight w:val="6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55883C6" w14:textId="77777777" w:rsidR="0033517B" w:rsidRPr="002262E0" w:rsidRDefault="0033517B" w:rsidP="002A73BE">
            <w:pPr>
              <w:jc w:val="center"/>
              <w:rPr>
                <w:rFonts w:cs="Arial"/>
                <w:sz w:val="20"/>
                <w:lang w:eastAsia="en-GB"/>
              </w:rPr>
            </w:pPr>
            <w:r w:rsidRPr="002262E0">
              <w:rPr>
                <w:rFonts w:cs="Arial"/>
                <w:sz w:val="20"/>
                <w:lang w:eastAsia="en-GB"/>
              </w:rPr>
              <w:t>2019/20</w:t>
            </w:r>
          </w:p>
        </w:tc>
        <w:tc>
          <w:tcPr>
            <w:tcW w:w="5408" w:type="dxa"/>
            <w:tcBorders>
              <w:top w:val="nil"/>
              <w:left w:val="nil"/>
              <w:bottom w:val="single" w:sz="4" w:space="0" w:color="auto"/>
              <w:right w:val="single" w:sz="4" w:space="0" w:color="auto"/>
            </w:tcBorders>
            <w:shd w:val="clear" w:color="auto" w:fill="FFFFFF" w:themeFill="background1"/>
            <w:vAlign w:val="center"/>
            <w:hideMark/>
          </w:tcPr>
          <w:p w14:paraId="2FC3E493" w14:textId="77777777" w:rsidR="0033517B" w:rsidRPr="002262E0" w:rsidRDefault="0033517B" w:rsidP="002A73BE">
            <w:pPr>
              <w:rPr>
                <w:rFonts w:cs="Arial"/>
                <w:sz w:val="20"/>
                <w:lang w:eastAsia="en-GB"/>
              </w:rPr>
            </w:pPr>
            <w:r w:rsidRPr="002262E0">
              <w:rPr>
                <w:rFonts w:cs="Arial"/>
                <w:sz w:val="20"/>
                <w:lang w:eastAsia="en-GB"/>
              </w:rPr>
              <w:t>Wealdstone - Infrastructure, and streetscene improvements in the in the vicinity of Wealdstone Town Centre</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0924A43C"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DBD5A8D" w14:textId="77777777" w:rsidR="0033517B" w:rsidRPr="002262E0" w:rsidRDefault="0033517B" w:rsidP="002A73BE">
            <w:pPr>
              <w:jc w:val="right"/>
              <w:rPr>
                <w:rFonts w:cs="Arial"/>
                <w:sz w:val="20"/>
                <w:lang w:eastAsia="en-GB"/>
              </w:rPr>
            </w:pPr>
            <w:r w:rsidRPr="002262E0">
              <w:rPr>
                <w:rFonts w:cs="Arial"/>
                <w:sz w:val="20"/>
                <w:lang w:eastAsia="en-GB"/>
              </w:rPr>
              <w:t>£16,610</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4447BB5F" w14:textId="77777777" w:rsidR="0033517B" w:rsidRPr="002262E0" w:rsidRDefault="0033517B" w:rsidP="002A73BE">
            <w:pPr>
              <w:jc w:val="right"/>
              <w:rPr>
                <w:rFonts w:cs="Arial"/>
                <w:sz w:val="20"/>
                <w:lang w:eastAsia="en-GB"/>
              </w:rPr>
            </w:pPr>
            <w:r w:rsidRPr="002262E0">
              <w:rPr>
                <w:rFonts w:cs="Arial"/>
                <w:sz w:val="20"/>
                <w:lang w:eastAsia="en-GB"/>
              </w:rPr>
              <w:t>176</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0EEC17C9" w14:textId="77777777" w:rsidR="0033517B" w:rsidRPr="002262E0" w:rsidRDefault="0033517B" w:rsidP="002A73BE">
            <w:pPr>
              <w:jc w:val="right"/>
              <w:rPr>
                <w:rFonts w:cs="Arial"/>
                <w:sz w:val="20"/>
                <w:lang w:eastAsia="en-GB"/>
              </w:rPr>
            </w:pPr>
            <w:r w:rsidRPr="002262E0">
              <w:rPr>
                <w:rFonts w:cs="Arial"/>
                <w:sz w:val="20"/>
                <w:lang w:eastAsia="en-GB"/>
              </w:rPr>
              <w:t>12,000</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12593F8E"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04E7F3A5" w14:textId="77777777" w:rsidR="0033517B" w:rsidRPr="002262E0" w:rsidRDefault="0033517B" w:rsidP="002A73BE">
            <w:pPr>
              <w:jc w:val="right"/>
              <w:rPr>
                <w:rFonts w:cs="Arial"/>
                <w:sz w:val="20"/>
                <w:lang w:eastAsia="en-GB"/>
              </w:rPr>
            </w:pPr>
            <w:r w:rsidRPr="002262E0">
              <w:rPr>
                <w:rFonts w:cs="Arial"/>
                <w:sz w:val="20"/>
                <w:lang w:eastAsia="en-GB"/>
              </w:rPr>
              <w:t>4,434</w:t>
            </w:r>
          </w:p>
        </w:tc>
      </w:tr>
      <w:tr w:rsidR="0033517B" w:rsidRPr="002262E0" w14:paraId="5ACAB12B" w14:textId="77777777" w:rsidTr="002A73BE">
        <w:trPr>
          <w:trHeight w:val="6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BFAD7F2" w14:textId="77777777" w:rsidR="0033517B" w:rsidRPr="002262E0" w:rsidRDefault="0033517B" w:rsidP="002A73BE">
            <w:pPr>
              <w:jc w:val="center"/>
              <w:rPr>
                <w:rFonts w:cs="Arial"/>
                <w:sz w:val="20"/>
                <w:lang w:eastAsia="en-GB"/>
              </w:rPr>
            </w:pPr>
            <w:r w:rsidRPr="002262E0">
              <w:rPr>
                <w:rFonts w:cs="Arial"/>
                <w:sz w:val="20"/>
                <w:lang w:eastAsia="en-GB"/>
              </w:rPr>
              <w:lastRenderedPageBreak/>
              <w:t>2019/20</w:t>
            </w:r>
          </w:p>
        </w:tc>
        <w:tc>
          <w:tcPr>
            <w:tcW w:w="5408" w:type="dxa"/>
            <w:tcBorders>
              <w:top w:val="nil"/>
              <w:left w:val="nil"/>
              <w:bottom w:val="single" w:sz="4" w:space="0" w:color="auto"/>
              <w:right w:val="single" w:sz="4" w:space="0" w:color="auto"/>
            </w:tcBorders>
            <w:shd w:val="clear" w:color="auto" w:fill="FFFFFF" w:themeFill="background1"/>
            <w:vAlign w:val="center"/>
            <w:hideMark/>
          </w:tcPr>
          <w:p w14:paraId="113B4C50" w14:textId="77777777" w:rsidR="0033517B" w:rsidRPr="002262E0" w:rsidRDefault="0033517B" w:rsidP="002A73BE">
            <w:pPr>
              <w:rPr>
                <w:rFonts w:cs="Arial"/>
                <w:sz w:val="20"/>
                <w:lang w:eastAsia="en-GB"/>
              </w:rPr>
            </w:pPr>
            <w:r w:rsidRPr="002262E0">
              <w:rPr>
                <w:rFonts w:cs="Arial"/>
                <w:sz w:val="20"/>
                <w:lang w:eastAsia="en-GB"/>
              </w:rPr>
              <w:t>Roxbourne - Infrastructure and streetscene improvements around the Kings Road / Eastcote Lane junction</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2AEB5408"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21038EE0" w14:textId="77777777" w:rsidR="0033517B" w:rsidRPr="002262E0" w:rsidRDefault="0033517B" w:rsidP="002A73BE">
            <w:pPr>
              <w:jc w:val="right"/>
              <w:rPr>
                <w:rFonts w:cs="Arial"/>
                <w:sz w:val="20"/>
                <w:lang w:eastAsia="en-GB"/>
              </w:rPr>
            </w:pPr>
            <w:r w:rsidRPr="002262E0">
              <w:rPr>
                <w:rFonts w:cs="Arial"/>
                <w:sz w:val="20"/>
                <w:lang w:eastAsia="en-GB"/>
              </w:rPr>
              <w:t>158,360</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208CE44B" w14:textId="77777777" w:rsidR="0033517B" w:rsidRPr="002262E0" w:rsidRDefault="0033517B" w:rsidP="002A73BE">
            <w:pPr>
              <w:jc w:val="right"/>
              <w:rPr>
                <w:rFonts w:cs="Arial"/>
                <w:sz w:val="20"/>
                <w:lang w:eastAsia="en-GB"/>
              </w:rPr>
            </w:pPr>
            <w:r w:rsidRPr="002262E0">
              <w:rPr>
                <w:rFonts w:cs="Arial"/>
                <w:sz w:val="20"/>
                <w:lang w:eastAsia="en-GB"/>
              </w:rPr>
              <w:t>140,072</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581EDE92" w14:textId="77777777" w:rsidR="0033517B" w:rsidRPr="002262E0" w:rsidRDefault="0033517B" w:rsidP="002A73BE">
            <w:pPr>
              <w:jc w:val="right"/>
              <w:rPr>
                <w:rFonts w:cs="Arial"/>
                <w:sz w:val="20"/>
                <w:lang w:eastAsia="en-GB"/>
              </w:rPr>
            </w:pPr>
            <w:r w:rsidRPr="002262E0">
              <w:rPr>
                <w:rFonts w:cs="Arial"/>
                <w:sz w:val="20"/>
                <w:lang w:eastAsia="en-GB"/>
              </w:rPr>
              <w:t>16,364</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334D7243"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3D254B68" w14:textId="77777777" w:rsidR="0033517B" w:rsidRPr="002262E0" w:rsidRDefault="0033517B" w:rsidP="002A73BE">
            <w:pPr>
              <w:jc w:val="right"/>
              <w:rPr>
                <w:rFonts w:cs="Arial"/>
                <w:sz w:val="20"/>
                <w:lang w:eastAsia="en-GB"/>
              </w:rPr>
            </w:pPr>
            <w:r w:rsidRPr="002262E0">
              <w:rPr>
                <w:rFonts w:cs="Arial"/>
                <w:sz w:val="20"/>
                <w:lang w:eastAsia="en-GB"/>
              </w:rPr>
              <w:t>1,924</w:t>
            </w:r>
          </w:p>
        </w:tc>
      </w:tr>
      <w:tr w:rsidR="0033517B" w:rsidRPr="002262E0" w14:paraId="6B53723C" w14:textId="77777777" w:rsidTr="002A73BE">
        <w:trPr>
          <w:trHeight w:val="3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CFB970A" w14:textId="77777777" w:rsidR="0033517B" w:rsidRPr="002262E0" w:rsidRDefault="0033517B" w:rsidP="002A73BE">
            <w:pPr>
              <w:jc w:val="center"/>
              <w:rPr>
                <w:rFonts w:cs="Arial"/>
                <w:sz w:val="20"/>
                <w:lang w:eastAsia="en-GB"/>
              </w:rPr>
            </w:pPr>
            <w:r w:rsidRPr="002262E0">
              <w:rPr>
                <w:rFonts w:cs="Arial"/>
                <w:sz w:val="20"/>
                <w:lang w:eastAsia="en-GB"/>
              </w:rPr>
              <w:t>2019/20</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4ADE1AFF" w14:textId="77777777" w:rsidR="0033517B" w:rsidRPr="002262E0" w:rsidRDefault="0033517B" w:rsidP="002A73BE">
            <w:pPr>
              <w:rPr>
                <w:rFonts w:cs="Arial"/>
                <w:sz w:val="20"/>
                <w:lang w:eastAsia="en-GB"/>
              </w:rPr>
            </w:pPr>
            <w:r w:rsidRPr="002262E0">
              <w:rPr>
                <w:rFonts w:cs="Arial"/>
                <w:sz w:val="20"/>
                <w:lang w:eastAsia="en-GB"/>
              </w:rPr>
              <w:t xml:space="preserve">Roxeth - Festive Lighting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45BE839A"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8CB720E" w14:textId="77777777" w:rsidR="0033517B" w:rsidRPr="002262E0" w:rsidRDefault="0033517B" w:rsidP="002A73BE">
            <w:pPr>
              <w:jc w:val="right"/>
              <w:rPr>
                <w:rFonts w:cs="Arial"/>
                <w:sz w:val="20"/>
                <w:lang w:eastAsia="en-GB"/>
              </w:rPr>
            </w:pPr>
            <w:r w:rsidRPr="002262E0">
              <w:rPr>
                <w:rFonts w:cs="Arial"/>
                <w:sz w:val="20"/>
                <w:lang w:eastAsia="en-GB"/>
              </w:rPr>
              <w:t>25,966</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6FE34505" w14:textId="77777777" w:rsidR="0033517B" w:rsidRPr="002262E0" w:rsidRDefault="0033517B" w:rsidP="002A73BE">
            <w:pPr>
              <w:jc w:val="right"/>
              <w:rPr>
                <w:rFonts w:cs="Arial"/>
                <w:sz w:val="20"/>
                <w:lang w:eastAsia="en-GB"/>
              </w:rPr>
            </w:pPr>
            <w:r w:rsidRPr="002262E0">
              <w:rPr>
                <w:rFonts w:cs="Arial"/>
                <w:sz w:val="20"/>
                <w:lang w:eastAsia="en-GB"/>
              </w:rPr>
              <w:t>13,305</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7CDBCB05"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170888E9"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3D79237E" w14:textId="77777777" w:rsidR="0033517B" w:rsidRPr="002262E0" w:rsidRDefault="0033517B" w:rsidP="002A73BE">
            <w:pPr>
              <w:jc w:val="right"/>
              <w:rPr>
                <w:rFonts w:cs="Arial"/>
                <w:sz w:val="20"/>
                <w:lang w:eastAsia="en-GB"/>
              </w:rPr>
            </w:pPr>
            <w:r w:rsidRPr="002262E0">
              <w:rPr>
                <w:rFonts w:cs="Arial"/>
                <w:sz w:val="20"/>
                <w:lang w:eastAsia="en-GB"/>
              </w:rPr>
              <w:t>12,661</w:t>
            </w:r>
          </w:p>
        </w:tc>
      </w:tr>
      <w:tr w:rsidR="0033517B" w:rsidRPr="002262E0" w14:paraId="0F8F423E" w14:textId="77777777" w:rsidTr="002A73BE">
        <w:trPr>
          <w:trHeight w:val="3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B52635A" w14:textId="77777777" w:rsidR="0033517B" w:rsidRPr="002262E0" w:rsidRDefault="0033517B" w:rsidP="002A73BE">
            <w:pPr>
              <w:jc w:val="center"/>
              <w:rPr>
                <w:rFonts w:cs="Arial"/>
                <w:sz w:val="20"/>
                <w:lang w:eastAsia="en-GB"/>
              </w:rPr>
            </w:pPr>
            <w:r w:rsidRPr="002262E0">
              <w:rPr>
                <w:rFonts w:cs="Arial"/>
                <w:sz w:val="20"/>
                <w:lang w:eastAsia="en-GB"/>
              </w:rPr>
              <w:t>2019/20</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22BA61C4" w14:textId="77777777" w:rsidR="0033517B" w:rsidRPr="002262E0" w:rsidRDefault="0033517B" w:rsidP="002A73BE">
            <w:pPr>
              <w:rPr>
                <w:rFonts w:cs="Arial"/>
                <w:sz w:val="20"/>
                <w:lang w:eastAsia="en-GB"/>
              </w:rPr>
            </w:pPr>
            <w:r w:rsidRPr="002262E0">
              <w:rPr>
                <w:rFonts w:cs="Arial"/>
                <w:sz w:val="20"/>
                <w:lang w:eastAsia="en-GB"/>
              </w:rPr>
              <w:t>Greenhill OA - Changing Places toilet</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63456F99"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79D720C9" w14:textId="77777777" w:rsidR="0033517B" w:rsidRPr="002262E0" w:rsidRDefault="0033517B" w:rsidP="002A73BE">
            <w:pPr>
              <w:jc w:val="right"/>
              <w:rPr>
                <w:rFonts w:cs="Arial"/>
                <w:sz w:val="20"/>
                <w:lang w:eastAsia="en-GB"/>
              </w:rPr>
            </w:pPr>
            <w:r w:rsidRPr="002262E0">
              <w:rPr>
                <w:rFonts w:cs="Arial"/>
                <w:sz w:val="20"/>
                <w:lang w:eastAsia="en-GB"/>
              </w:rPr>
              <w:t>35,000</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4D11C7EA"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3E2F3074" w14:textId="77777777" w:rsidR="0033517B" w:rsidRPr="002262E0" w:rsidRDefault="0033517B" w:rsidP="002A73BE">
            <w:pPr>
              <w:jc w:val="right"/>
              <w:rPr>
                <w:rFonts w:cs="Arial"/>
                <w:sz w:val="20"/>
                <w:lang w:eastAsia="en-GB"/>
              </w:rPr>
            </w:pPr>
            <w:r w:rsidRPr="002262E0">
              <w:rPr>
                <w:rFonts w:cs="Arial"/>
                <w:sz w:val="20"/>
                <w:lang w:eastAsia="en-GB"/>
              </w:rPr>
              <w:t>35,000</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3362A0D1"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69C0411F" w14:textId="77777777" w:rsidR="0033517B" w:rsidRPr="002262E0" w:rsidRDefault="0033517B" w:rsidP="002A73BE">
            <w:pPr>
              <w:jc w:val="right"/>
              <w:rPr>
                <w:rFonts w:cs="Arial"/>
                <w:sz w:val="20"/>
                <w:lang w:eastAsia="en-GB"/>
              </w:rPr>
            </w:pPr>
            <w:r w:rsidRPr="002262E0">
              <w:rPr>
                <w:rFonts w:cs="Arial"/>
                <w:sz w:val="20"/>
                <w:lang w:eastAsia="en-GB"/>
              </w:rPr>
              <w:t>0</w:t>
            </w:r>
          </w:p>
        </w:tc>
      </w:tr>
      <w:tr w:rsidR="0033517B" w:rsidRPr="002262E0" w14:paraId="66BE0E00" w14:textId="77777777" w:rsidTr="002A73BE">
        <w:trPr>
          <w:trHeight w:val="305"/>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5ED014B" w14:textId="77777777" w:rsidR="0033517B" w:rsidRPr="002262E0" w:rsidRDefault="0033517B" w:rsidP="002A73BE">
            <w:pPr>
              <w:jc w:val="center"/>
              <w:rPr>
                <w:rFonts w:cs="Arial"/>
                <w:sz w:val="20"/>
                <w:lang w:eastAsia="en-GB"/>
              </w:rPr>
            </w:pPr>
            <w:r w:rsidRPr="002262E0">
              <w:rPr>
                <w:rFonts w:cs="Arial"/>
                <w:sz w:val="20"/>
                <w:lang w:eastAsia="en-GB"/>
              </w:rPr>
              <w:t>2019/20</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705759A2" w14:textId="77777777" w:rsidR="0033517B" w:rsidRPr="002262E0" w:rsidRDefault="0033517B" w:rsidP="002A73BE">
            <w:pPr>
              <w:rPr>
                <w:rFonts w:cs="Arial"/>
                <w:sz w:val="20"/>
                <w:lang w:eastAsia="en-GB"/>
              </w:rPr>
            </w:pPr>
            <w:r w:rsidRPr="002262E0">
              <w:rPr>
                <w:rFonts w:cs="Arial"/>
                <w:sz w:val="20"/>
                <w:lang w:eastAsia="en-GB"/>
              </w:rPr>
              <w:t>Wealdstone - Murals</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62168F50"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1684ECD2" w14:textId="77777777" w:rsidR="0033517B" w:rsidRPr="002262E0" w:rsidRDefault="0033517B" w:rsidP="002A73BE">
            <w:pPr>
              <w:jc w:val="right"/>
              <w:rPr>
                <w:rFonts w:cs="Arial"/>
                <w:sz w:val="20"/>
                <w:lang w:eastAsia="en-GB"/>
              </w:rPr>
            </w:pPr>
            <w:r w:rsidRPr="002262E0">
              <w:rPr>
                <w:rFonts w:cs="Arial"/>
                <w:sz w:val="20"/>
                <w:lang w:eastAsia="en-GB"/>
              </w:rPr>
              <w:t>60,000</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047DF854"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6FAC5F4B" w14:textId="77777777" w:rsidR="0033517B" w:rsidRPr="002262E0" w:rsidRDefault="0033517B" w:rsidP="002A73BE">
            <w:pPr>
              <w:jc w:val="right"/>
              <w:rPr>
                <w:rFonts w:cs="Arial"/>
                <w:sz w:val="20"/>
                <w:lang w:eastAsia="en-GB"/>
              </w:rPr>
            </w:pPr>
            <w:r w:rsidRPr="002262E0">
              <w:rPr>
                <w:rFonts w:cs="Arial"/>
                <w:sz w:val="20"/>
                <w:lang w:eastAsia="en-GB"/>
              </w:rPr>
              <w:t>48,511</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42D0A39A" w14:textId="77777777" w:rsidR="0033517B" w:rsidRPr="002262E0" w:rsidRDefault="0033517B" w:rsidP="002A73BE">
            <w:pPr>
              <w:jc w:val="right"/>
              <w:rPr>
                <w:rFonts w:cs="Arial"/>
                <w:sz w:val="20"/>
                <w:lang w:eastAsia="en-GB"/>
              </w:rPr>
            </w:pPr>
            <w:r w:rsidRPr="002262E0">
              <w:rPr>
                <w:rFonts w:cs="Arial"/>
                <w:sz w:val="20"/>
                <w:lang w:eastAsia="en-GB"/>
              </w:rPr>
              <w:t>2,085</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59211F63" w14:textId="77777777" w:rsidR="0033517B" w:rsidRPr="002262E0" w:rsidRDefault="0033517B" w:rsidP="002A73BE">
            <w:pPr>
              <w:jc w:val="right"/>
              <w:rPr>
                <w:rFonts w:cs="Arial"/>
                <w:sz w:val="20"/>
                <w:lang w:eastAsia="en-GB"/>
              </w:rPr>
            </w:pPr>
            <w:r w:rsidRPr="002262E0">
              <w:rPr>
                <w:rFonts w:cs="Arial"/>
                <w:sz w:val="20"/>
                <w:lang w:eastAsia="en-GB"/>
              </w:rPr>
              <w:t>9,404</w:t>
            </w:r>
          </w:p>
        </w:tc>
      </w:tr>
      <w:tr w:rsidR="0033517B" w:rsidRPr="002262E0" w14:paraId="610D23D6" w14:textId="77777777" w:rsidTr="002A73BE">
        <w:trPr>
          <w:trHeight w:val="3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42C0B91" w14:textId="77777777" w:rsidR="0033517B" w:rsidRPr="002262E0" w:rsidRDefault="0033517B" w:rsidP="002A73BE">
            <w:pPr>
              <w:jc w:val="center"/>
              <w:rPr>
                <w:rFonts w:cs="Arial"/>
                <w:sz w:val="20"/>
                <w:lang w:eastAsia="en-GB"/>
              </w:rPr>
            </w:pPr>
            <w:r w:rsidRPr="002262E0">
              <w:rPr>
                <w:rFonts w:cs="Arial"/>
                <w:sz w:val="20"/>
                <w:lang w:eastAsia="en-GB"/>
              </w:rPr>
              <w:t>2019/20</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48C46CED" w14:textId="77777777" w:rsidR="0033517B" w:rsidRPr="002262E0" w:rsidRDefault="0033517B" w:rsidP="002A73BE">
            <w:pPr>
              <w:rPr>
                <w:rFonts w:cs="Arial"/>
                <w:sz w:val="20"/>
                <w:lang w:eastAsia="en-GB"/>
              </w:rPr>
            </w:pPr>
            <w:r w:rsidRPr="002262E0">
              <w:rPr>
                <w:rFonts w:cs="Arial"/>
                <w:sz w:val="20"/>
                <w:lang w:eastAsia="en-GB"/>
              </w:rPr>
              <w:t>Stanmore Ward - Safety and infrastructure improvement</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3293A33B"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64E9CDD2" w14:textId="77777777" w:rsidR="0033517B" w:rsidRPr="002262E0" w:rsidRDefault="0033517B" w:rsidP="002A73BE">
            <w:pPr>
              <w:jc w:val="right"/>
              <w:rPr>
                <w:rFonts w:cs="Arial"/>
                <w:sz w:val="20"/>
                <w:lang w:eastAsia="en-GB"/>
              </w:rPr>
            </w:pPr>
            <w:r w:rsidRPr="002262E0">
              <w:rPr>
                <w:rFonts w:cs="Arial"/>
                <w:sz w:val="20"/>
                <w:lang w:eastAsia="en-GB"/>
              </w:rPr>
              <w:t>32,431</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7889E4C0" w14:textId="77777777" w:rsidR="0033517B" w:rsidRPr="002262E0" w:rsidRDefault="0033517B" w:rsidP="002A73BE">
            <w:pPr>
              <w:jc w:val="right"/>
              <w:rPr>
                <w:rFonts w:cs="Arial"/>
                <w:sz w:val="20"/>
                <w:lang w:eastAsia="en-GB"/>
              </w:rPr>
            </w:pPr>
            <w:r w:rsidRPr="002262E0">
              <w:rPr>
                <w:rFonts w:cs="Arial"/>
                <w:sz w:val="20"/>
                <w:lang w:eastAsia="en-GB"/>
              </w:rPr>
              <w:t>8,627</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5D19966E"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39ACDD64" w14:textId="77777777" w:rsidR="0033517B" w:rsidRPr="002262E0" w:rsidRDefault="0033517B" w:rsidP="002A73BE">
            <w:pPr>
              <w:jc w:val="right"/>
              <w:rPr>
                <w:rFonts w:cs="Arial"/>
                <w:sz w:val="20"/>
                <w:lang w:eastAsia="en-GB"/>
              </w:rPr>
            </w:pPr>
            <w:r w:rsidRPr="002262E0">
              <w:rPr>
                <w:rFonts w:cs="Arial"/>
                <w:sz w:val="20"/>
                <w:lang w:eastAsia="en-GB"/>
              </w:rPr>
              <w:t>475</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37B62097" w14:textId="77777777" w:rsidR="0033517B" w:rsidRPr="002262E0" w:rsidRDefault="0033517B" w:rsidP="002A73BE">
            <w:pPr>
              <w:jc w:val="right"/>
              <w:rPr>
                <w:rFonts w:cs="Arial"/>
                <w:sz w:val="20"/>
                <w:lang w:eastAsia="en-GB"/>
              </w:rPr>
            </w:pPr>
            <w:r w:rsidRPr="002262E0">
              <w:rPr>
                <w:rFonts w:cs="Arial"/>
                <w:sz w:val="20"/>
                <w:lang w:eastAsia="en-GB"/>
              </w:rPr>
              <w:t>23,329</w:t>
            </w:r>
          </w:p>
        </w:tc>
      </w:tr>
      <w:tr w:rsidR="0033517B" w:rsidRPr="002262E0" w14:paraId="3D437FAA" w14:textId="77777777" w:rsidTr="002A73BE">
        <w:trPr>
          <w:trHeight w:val="289"/>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024A08F" w14:textId="77777777" w:rsidR="0033517B" w:rsidRPr="002262E0" w:rsidRDefault="0033517B" w:rsidP="002A73BE">
            <w:pPr>
              <w:jc w:val="center"/>
              <w:rPr>
                <w:rFonts w:cs="Arial"/>
                <w:sz w:val="20"/>
                <w:lang w:eastAsia="en-GB"/>
              </w:rPr>
            </w:pPr>
            <w:r w:rsidRPr="002262E0">
              <w:rPr>
                <w:rFonts w:cs="Arial"/>
                <w:sz w:val="20"/>
                <w:lang w:eastAsia="en-GB"/>
              </w:rPr>
              <w:t>2020/21</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2830634B" w14:textId="77777777" w:rsidR="0033517B" w:rsidRPr="002262E0" w:rsidRDefault="0033517B" w:rsidP="002A73BE">
            <w:pPr>
              <w:rPr>
                <w:rFonts w:cs="Arial"/>
                <w:sz w:val="20"/>
                <w:lang w:eastAsia="en-GB"/>
              </w:rPr>
            </w:pPr>
            <w:r w:rsidRPr="002262E0">
              <w:rPr>
                <w:rFonts w:cs="Arial"/>
                <w:sz w:val="20"/>
                <w:lang w:eastAsia="en-GB"/>
              </w:rPr>
              <w:t>Parks Infrastructure (Playground replacement)</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635E09D0" w14:textId="77777777" w:rsidR="0033517B" w:rsidRPr="002262E0" w:rsidRDefault="0033517B" w:rsidP="002A73BE">
            <w:pPr>
              <w:jc w:val="right"/>
              <w:rPr>
                <w:rFonts w:cs="Arial"/>
                <w:sz w:val="20"/>
                <w:lang w:eastAsia="en-GB"/>
              </w:rPr>
            </w:pPr>
            <w:r w:rsidRPr="002262E0">
              <w:rPr>
                <w:rFonts w:cs="Arial"/>
                <w:sz w:val="20"/>
                <w:lang w:eastAsia="en-GB"/>
              </w:rPr>
              <w:t>250,000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29AB5B0A"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2DD04662"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2A28D679" w14:textId="77777777" w:rsidR="0033517B" w:rsidRPr="002262E0" w:rsidRDefault="0033517B" w:rsidP="002A73BE">
            <w:pPr>
              <w:jc w:val="right"/>
              <w:rPr>
                <w:rFonts w:cs="Arial"/>
                <w:sz w:val="20"/>
                <w:lang w:eastAsia="en-GB"/>
              </w:rPr>
            </w:pPr>
            <w:r w:rsidRPr="002262E0">
              <w:rPr>
                <w:rFonts w:cs="Arial"/>
                <w:sz w:val="20"/>
                <w:lang w:eastAsia="en-GB"/>
              </w:rPr>
              <w:t>204,329</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7BB8B49F"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77F641B4" w14:textId="77777777" w:rsidR="0033517B" w:rsidRPr="002262E0" w:rsidRDefault="0033517B" w:rsidP="002A73BE">
            <w:pPr>
              <w:jc w:val="right"/>
              <w:rPr>
                <w:rFonts w:cs="Arial"/>
                <w:sz w:val="20"/>
                <w:lang w:eastAsia="en-GB"/>
              </w:rPr>
            </w:pPr>
            <w:r w:rsidRPr="002262E0">
              <w:rPr>
                <w:rFonts w:cs="Arial"/>
                <w:sz w:val="20"/>
                <w:lang w:eastAsia="en-GB"/>
              </w:rPr>
              <w:t>45,671</w:t>
            </w:r>
          </w:p>
        </w:tc>
      </w:tr>
      <w:tr w:rsidR="0033517B" w:rsidRPr="002262E0" w14:paraId="37B39938" w14:textId="77777777" w:rsidTr="002A73BE">
        <w:trPr>
          <w:trHeight w:val="3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1857E8A" w14:textId="77777777" w:rsidR="0033517B" w:rsidRPr="002262E0" w:rsidRDefault="0033517B" w:rsidP="002A73BE">
            <w:pPr>
              <w:jc w:val="center"/>
              <w:rPr>
                <w:rFonts w:cs="Arial"/>
                <w:sz w:val="20"/>
                <w:lang w:eastAsia="en-GB"/>
              </w:rPr>
            </w:pPr>
            <w:r w:rsidRPr="002262E0">
              <w:rPr>
                <w:rFonts w:cs="Arial"/>
                <w:sz w:val="20"/>
                <w:lang w:eastAsia="en-GB"/>
              </w:rPr>
              <w:t>2020/21</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59544F8B" w14:textId="77777777" w:rsidR="0033517B" w:rsidRPr="002262E0" w:rsidRDefault="0033517B" w:rsidP="002A73BE">
            <w:pPr>
              <w:rPr>
                <w:rFonts w:cs="Arial"/>
                <w:sz w:val="20"/>
                <w:lang w:eastAsia="en-GB"/>
              </w:rPr>
            </w:pPr>
            <w:r w:rsidRPr="002262E0">
              <w:rPr>
                <w:rFonts w:cs="Arial"/>
                <w:sz w:val="20"/>
                <w:lang w:eastAsia="en-GB"/>
              </w:rPr>
              <w:t>Flood Defence</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127C786B" w14:textId="77777777" w:rsidR="0033517B" w:rsidRPr="002262E0" w:rsidRDefault="0033517B" w:rsidP="002A73BE">
            <w:pPr>
              <w:jc w:val="right"/>
              <w:rPr>
                <w:rFonts w:cs="Arial"/>
                <w:sz w:val="20"/>
                <w:lang w:eastAsia="en-GB"/>
              </w:rPr>
            </w:pPr>
            <w:r w:rsidRPr="002262E0">
              <w:rPr>
                <w:rFonts w:cs="Arial"/>
                <w:sz w:val="20"/>
                <w:lang w:eastAsia="en-GB"/>
              </w:rPr>
              <w:t>300,000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C244A15"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273ADDB9"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1858D0BC" w14:textId="77777777" w:rsidR="0033517B" w:rsidRPr="002262E0" w:rsidRDefault="0033517B" w:rsidP="002A73BE">
            <w:pPr>
              <w:jc w:val="right"/>
              <w:rPr>
                <w:rFonts w:cs="Arial"/>
                <w:sz w:val="20"/>
                <w:lang w:eastAsia="en-GB"/>
              </w:rPr>
            </w:pPr>
            <w:r w:rsidRPr="002262E0">
              <w:rPr>
                <w:rFonts w:cs="Arial"/>
                <w:sz w:val="20"/>
                <w:lang w:eastAsia="en-GB"/>
              </w:rPr>
              <w:t>300,000</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224C7D90"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6B79B8CE" w14:textId="77777777" w:rsidR="0033517B" w:rsidRPr="002262E0" w:rsidRDefault="0033517B" w:rsidP="002A73BE">
            <w:pPr>
              <w:jc w:val="right"/>
              <w:rPr>
                <w:rFonts w:cs="Arial"/>
                <w:sz w:val="20"/>
                <w:lang w:eastAsia="en-GB"/>
              </w:rPr>
            </w:pPr>
            <w:r w:rsidRPr="002262E0">
              <w:rPr>
                <w:rFonts w:cs="Arial"/>
                <w:sz w:val="20"/>
                <w:lang w:eastAsia="en-GB"/>
              </w:rPr>
              <w:t>0</w:t>
            </w:r>
          </w:p>
        </w:tc>
      </w:tr>
      <w:tr w:rsidR="0033517B" w:rsidRPr="002262E0" w14:paraId="6031B892" w14:textId="77777777" w:rsidTr="002A73BE">
        <w:trPr>
          <w:trHeight w:val="289"/>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09BFDB" w14:textId="77777777" w:rsidR="0033517B" w:rsidRPr="002262E0" w:rsidRDefault="0033517B" w:rsidP="002A73BE">
            <w:pPr>
              <w:jc w:val="center"/>
              <w:rPr>
                <w:rFonts w:cs="Arial"/>
                <w:sz w:val="20"/>
                <w:lang w:eastAsia="en-GB"/>
              </w:rPr>
            </w:pPr>
            <w:r w:rsidRPr="002262E0">
              <w:rPr>
                <w:rFonts w:cs="Arial"/>
                <w:sz w:val="20"/>
                <w:lang w:eastAsia="en-GB"/>
              </w:rPr>
              <w:t>2020/21</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1111E51E" w14:textId="77777777" w:rsidR="0033517B" w:rsidRPr="002262E0" w:rsidRDefault="0033517B" w:rsidP="002A73BE">
            <w:pPr>
              <w:rPr>
                <w:rFonts w:cs="Arial"/>
                <w:sz w:val="20"/>
                <w:lang w:eastAsia="en-GB"/>
              </w:rPr>
            </w:pPr>
            <w:r w:rsidRPr="002262E0">
              <w:rPr>
                <w:rFonts w:cs="Arial"/>
                <w:sz w:val="20"/>
                <w:lang w:eastAsia="en-GB"/>
              </w:rPr>
              <w:t>Highway Drainage</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768F57FC" w14:textId="77777777" w:rsidR="0033517B" w:rsidRPr="002262E0" w:rsidRDefault="0033517B" w:rsidP="002A73BE">
            <w:pPr>
              <w:jc w:val="right"/>
              <w:rPr>
                <w:rFonts w:cs="Arial"/>
                <w:sz w:val="20"/>
                <w:lang w:eastAsia="en-GB"/>
              </w:rPr>
            </w:pPr>
            <w:r w:rsidRPr="002262E0">
              <w:rPr>
                <w:rFonts w:cs="Arial"/>
                <w:sz w:val="20"/>
                <w:lang w:eastAsia="en-GB"/>
              </w:rPr>
              <w:t>200,000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742F4CDB"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55A4745B"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21109835" w14:textId="77777777" w:rsidR="0033517B" w:rsidRPr="002262E0" w:rsidRDefault="0033517B" w:rsidP="002A73BE">
            <w:pPr>
              <w:jc w:val="right"/>
              <w:rPr>
                <w:rFonts w:cs="Arial"/>
                <w:sz w:val="20"/>
                <w:lang w:eastAsia="en-GB"/>
              </w:rPr>
            </w:pPr>
            <w:r w:rsidRPr="002262E0">
              <w:rPr>
                <w:rFonts w:cs="Arial"/>
                <w:sz w:val="20"/>
                <w:lang w:eastAsia="en-GB"/>
              </w:rPr>
              <w:t>149,607</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14ABF83B" w14:textId="77777777" w:rsidR="0033517B" w:rsidRPr="002262E0" w:rsidRDefault="0033517B" w:rsidP="002A73BE">
            <w:pPr>
              <w:jc w:val="right"/>
              <w:rPr>
                <w:rFonts w:cs="Arial"/>
                <w:sz w:val="20"/>
                <w:lang w:eastAsia="en-GB"/>
              </w:rPr>
            </w:pPr>
            <w:r w:rsidRPr="002262E0">
              <w:rPr>
                <w:rFonts w:cs="Arial"/>
                <w:sz w:val="20"/>
                <w:lang w:eastAsia="en-GB"/>
              </w:rPr>
              <w:t>38,067</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245EB425" w14:textId="77777777" w:rsidR="0033517B" w:rsidRPr="002262E0" w:rsidRDefault="0033517B" w:rsidP="002A73BE">
            <w:pPr>
              <w:jc w:val="right"/>
              <w:rPr>
                <w:rFonts w:cs="Arial"/>
                <w:sz w:val="20"/>
                <w:lang w:eastAsia="en-GB"/>
              </w:rPr>
            </w:pPr>
            <w:r w:rsidRPr="002262E0">
              <w:rPr>
                <w:rFonts w:cs="Arial"/>
                <w:sz w:val="20"/>
                <w:lang w:eastAsia="en-GB"/>
              </w:rPr>
              <w:t>12,326</w:t>
            </w:r>
          </w:p>
        </w:tc>
      </w:tr>
      <w:tr w:rsidR="0033517B" w:rsidRPr="002262E0" w14:paraId="083EED74" w14:textId="77777777" w:rsidTr="002A73BE">
        <w:trPr>
          <w:trHeight w:val="289"/>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829DAA" w14:textId="77777777" w:rsidR="0033517B" w:rsidRPr="002262E0" w:rsidRDefault="0033517B" w:rsidP="002A73BE">
            <w:pPr>
              <w:jc w:val="center"/>
              <w:rPr>
                <w:rFonts w:cs="Arial"/>
                <w:sz w:val="20"/>
                <w:lang w:eastAsia="en-GB"/>
              </w:rPr>
            </w:pPr>
            <w:r w:rsidRPr="002262E0">
              <w:rPr>
                <w:rFonts w:cs="Arial"/>
                <w:sz w:val="20"/>
                <w:lang w:eastAsia="en-GB"/>
              </w:rPr>
              <w:t>2020/21</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23E780CA" w14:textId="77777777" w:rsidR="0033517B" w:rsidRPr="002262E0" w:rsidRDefault="0033517B" w:rsidP="002A73BE">
            <w:pPr>
              <w:rPr>
                <w:rFonts w:cs="Arial"/>
                <w:sz w:val="20"/>
                <w:lang w:eastAsia="en-GB"/>
              </w:rPr>
            </w:pPr>
            <w:r w:rsidRPr="002262E0">
              <w:rPr>
                <w:rFonts w:cs="Arial"/>
                <w:sz w:val="20"/>
                <w:lang w:eastAsia="en-GB"/>
              </w:rPr>
              <w:t>Green Grid</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03448CF2" w14:textId="77777777" w:rsidR="0033517B" w:rsidRPr="002262E0" w:rsidRDefault="0033517B" w:rsidP="002A73BE">
            <w:pPr>
              <w:jc w:val="right"/>
              <w:rPr>
                <w:rFonts w:cs="Arial"/>
                <w:sz w:val="20"/>
                <w:lang w:eastAsia="en-GB"/>
              </w:rPr>
            </w:pPr>
            <w:r w:rsidRPr="002262E0">
              <w:rPr>
                <w:rFonts w:cs="Arial"/>
                <w:sz w:val="20"/>
                <w:lang w:eastAsia="en-GB"/>
              </w:rPr>
              <w:t>150,000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77DFBEEE"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5DACB84F"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4627853E" w14:textId="77777777" w:rsidR="0033517B" w:rsidRPr="002262E0" w:rsidRDefault="0033517B" w:rsidP="002A73BE">
            <w:pPr>
              <w:jc w:val="right"/>
              <w:rPr>
                <w:rFonts w:cs="Arial"/>
                <w:sz w:val="20"/>
                <w:lang w:eastAsia="en-GB"/>
              </w:rPr>
            </w:pPr>
            <w:r w:rsidRPr="002262E0">
              <w:rPr>
                <w:rFonts w:cs="Arial"/>
                <w:sz w:val="20"/>
                <w:lang w:eastAsia="en-GB"/>
              </w:rPr>
              <w:t>150,000</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752F6D7E"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37887009" w14:textId="77777777" w:rsidR="0033517B" w:rsidRPr="002262E0" w:rsidRDefault="0033517B" w:rsidP="002A73BE">
            <w:pPr>
              <w:jc w:val="right"/>
              <w:rPr>
                <w:rFonts w:cs="Arial"/>
                <w:sz w:val="20"/>
                <w:lang w:eastAsia="en-GB"/>
              </w:rPr>
            </w:pPr>
            <w:r w:rsidRPr="002262E0">
              <w:rPr>
                <w:rFonts w:cs="Arial"/>
                <w:sz w:val="20"/>
                <w:lang w:eastAsia="en-GB"/>
              </w:rPr>
              <w:t>0</w:t>
            </w:r>
          </w:p>
        </w:tc>
      </w:tr>
      <w:tr w:rsidR="0033517B" w:rsidRPr="002262E0" w14:paraId="2E70D343" w14:textId="77777777" w:rsidTr="002A73BE">
        <w:trPr>
          <w:trHeight w:val="289"/>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12828FE" w14:textId="77777777" w:rsidR="0033517B" w:rsidRPr="002262E0" w:rsidRDefault="0033517B" w:rsidP="002A73BE">
            <w:pPr>
              <w:jc w:val="center"/>
              <w:rPr>
                <w:rFonts w:cs="Arial"/>
                <w:sz w:val="20"/>
                <w:lang w:eastAsia="en-GB"/>
              </w:rPr>
            </w:pPr>
            <w:r w:rsidRPr="002262E0">
              <w:rPr>
                <w:rFonts w:cs="Arial"/>
                <w:sz w:val="20"/>
                <w:lang w:eastAsia="en-GB"/>
              </w:rPr>
              <w:t>2020/21</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2CB99EC5" w14:textId="77777777" w:rsidR="0033517B" w:rsidRPr="002262E0" w:rsidRDefault="0033517B" w:rsidP="002A73BE">
            <w:pPr>
              <w:rPr>
                <w:rFonts w:cs="Arial"/>
                <w:sz w:val="20"/>
                <w:lang w:eastAsia="en-GB"/>
              </w:rPr>
            </w:pPr>
            <w:r w:rsidRPr="002262E0">
              <w:rPr>
                <w:rFonts w:cs="Arial"/>
                <w:sz w:val="20"/>
                <w:lang w:eastAsia="en-GB"/>
              </w:rPr>
              <w:t>Headstone Manor (Flood alleviation scheme)</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680CC734" w14:textId="77777777" w:rsidR="0033517B" w:rsidRPr="002262E0" w:rsidRDefault="0033517B" w:rsidP="002A73BE">
            <w:pPr>
              <w:jc w:val="right"/>
              <w:rPr>
                <w:rFonts w:cs="Arial"/>
                <w:sz w:val="20"/>
                <w:lang w:eastAsia="en-GB"/>
              </w:rPr>
            </w:pPr>
            <w:r w:rsidRPr="002262E0">
              <w:rPr>
                <w:rFonts w:cs="Arial"/>
                <w:sz w:val="20"/>
                <w:lang w:eastAsia="en-GB"/>
              </w:rPr>
              <w:t>500,000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D42F559"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1CCB40E9"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3C85DB80" w14:textId="77777777" w:rsidR="0033517B" w:rsidRPr="002262E0" w:rsidRDefault="0033517B" w:rsidP="002A73BE">
            <w:pPr>
              <w:jc w:val="right"/>
              <w:rPr>
                <w:rFonts w:cs="Arial"/>
                <w:sz w:val="20"/>
                <w:lang w:eastAsia="en-GB"/>
              </w:rPr>
            </w:pPr>
            <w:r w:rsidRPr="002262E0">
              <w:rPr>
                <w:rFonts w:cs="Arial"/>
                <w:sz w:val="20"/>
                <w:lang w:eastAsia="en-GB"/>
              </w:rPr>
              <w:t>30,574</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76428175" w14:textId="77777777" w:rsidR="0033517B" w:rsidRPr="002262E0" w:rsidRDefault="0033517B" w:rsidP="002A73BE">
            <w:pPr>
              <w:jc w:val="right"/>
              <w:rPr>
                <w:rFonts w:cs="Arial"/>
                <w:sz w:val="20"/>
                <w:lang w:eastAsia="en-GB"/>
              </w:rPr>
            </w:pPr>
            <w:r w:rsidRPr="002262E0">
              <w:rPr>
                <w:rFonts w:cs="Arial"/>
                <w:sz w:val="20"/>
                <w:lang w:eastAsia="en-GB"/>
              </w:rPr>
              <w:t>469,426</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706D5C0A" w14:textId="77777777" w:rsidR="0033517B" w:rsidRPr="002262E0" w:rsidRDefault="0033517B" w:rsidP="002A73BE">
            <w:pPr>
              <w:jc w:val="right"/>
              <w:rPr>
                <w:rFonts w:cs="Arial"/>
                <w:sz w:val="20"/>
                <w:lang w:eastAsia="en-GB"/>
              </w:rPr>
            </w:pPr>
            <w:r w:rsidRPr="002262E0">
              <w:rPr>
                <w:rFonts w:cs="Arial"/>
                <w:sz w:val="20"/>
                <w:lang w:eastAsia="en-GB"/>
              </w:rPr>
              <w:t>0</w:t>
            </w:r>
          </w:p>
        </w:tc>
      </w:tr>
      <w:tr w:rsidR="0033517B" w:rsidRPr="002262E0" w14:paraId="30345CB8" w14:textId="77777777" w:rsidTr="002A73BE">
        <w:trPr>
          <w:trHeight w:val="3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9656CE9" w14:textId="77777777" w:rsidR="0033517B" w:rsidRPr="002262E0" w:rsidRDefault="0033517B" w:rsidP="002A73BE">
            <w:pPr>
              <w:jc w:val="center"/>
              <w:rPr>
                <w:rFonts w:cs="Arial"/>
                <w:sz w:val="20"/>
                <w:lang w:eastAsia="en-GB"/>
              </w:rPr>
            </w:pPr>
            <w:r w:rsidRPr="002262E0">
              <w:rPr>
                <w:rFonts w:cs="Arial"/>
                <w:sz w:val="20"/>
                <w:lang w:eastAsia="en-GB"/>
              </w:rPr>
              <w:t>2020/21</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030FE9A2" w14:textId="77777777" w:rsidR="0033517B" w:rsidRPr="002262E0" w:rsidRDefault="0033517B" w:rsidP="002A73BE">
            <w:pPr>
              <w:rPr>
                <w:rFonts w:cs="Arial"/>
                <w:sz w:val="20"/>
                <w:lang w:eastAsia="en-GB"/>
              </w:rPr>
            </w:pPr>
            <w:r w:rsidRPr="002262E0">
              <w:rPr>
                <w:rFonts w:cs="Arial"/>
                <w:sz w:val="20"/>
                <w:lang w:eastAsia="en-GB"/>
              </w:rPr>
              <w:t>Harrow Arts Centre Capital Infrastructure</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1482AE2B" w14:textId="77777777" w:rsidR="0033517B" w:rsidRPr="002262E0" w:rsidRDefault="0033517B" w:rsidP="002A73BE">
            <w:pPr>
              <w:jc w:val="right"/>
              <w:rPr>
                <w:rFonts w:cs="Arial"/>
                <w:sz w:val="20"/>
                <w:lang w:eastAsia="en-GB"/>
              </w:rPr>
            </w:pPr>
            <w:r w:rsidRPr="002262E0">
              <w:rPr>
                <w:rFonts w:cs="Arial"/>
                <w:sz w:val="20"/>
                <w:lang w:eastAsia="en-GB"/>
              </w:rPr>
              <w:t>300,000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74605195"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2E26A72F"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1BE878D6" w14:textId="77777777" w:rsidR="0033517B" w:rsidRPr="002262E0" w:rsidRDefault="0033517B" w:rsidP="002A73BE">
            <w:pPr>
              <w:jc w:val="right"/>
              <w:rPr>
                <w:rFonts w:cs="Arial"/>
                <w:sz w:val="20"/>
                <w:lang w:eastAsia="en-GB"/>
              </w:rPr>
            </w:pPr>
            <w:r w:rsidRPr="002262E0">
              <w:rPr>
                <w:rFonts w:cs="Arial"/>
                <w:sz w:val="20"/>
                <w:lang w:eastAsia="en-GB"/>
              </w:rPr>
              <w:t>266,212</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40707D83" w14:textId="77777777" w:rsidR="0033517B" w:rsidRPr="002262E0" w:rsidRDefault="0033517B" w:rsidP="002A73BE">
            <w:pPr>
              <w:jc w:val="right"/>
              <w:rPr>
                <w:rFonts w:cs="Arial"/>
                <w:sz w:val="20"/>
                <w:lang w:eastAsia="en-GB"/>
              </w:rPr>
            </w:pPr>
            <w:r w:rsidRPr="002262E0">
              <w:rPr>
                <w:rFonts w:cs="Arial"/>
                <w:sz w:val="20"/>
                <w:lang w:eastAsia="en-GB"/>
              </w:rPr>
              <w:t>11,201</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368BE747" w14:textId="77777777" w:rsidR="0033517B" w:rsidRPr="002262E0" w:rsidRDefault="0033517B" w:rsidP="002A73BE">
            <w:pPr>
              <w:jc w:val="right"/>
              <w:rPr>
                <w:rFonts w:cs="Arial"/>
                <w:sz w:val="20"/>
                <w:lang w:eastAsia="en-GB"/>
              </w:rPr>
            </w:pPr>
            <w:r w:rsidRPr="002262E0">
              <w:rPr>
                <w:rFonts w:cs="Arial"/>
                <w:sz w:val="20"/>
                <w:lang w:eastAsia="en-GB"/>
              </w:rPr>
              <w:t>22,587</w:t>
            </w:r>
          </w:p>
        </w:tc>
      </w:tr>
      <w:tr w:rsidR="0033517B" w:rsidRPr="002262E0" w14:paraId="1587D8B4" w14:textId="77777777" w:rsidTr="002A73BE">
        <w:trPr>
          <w:trHeight w:val="3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3D5D516" w14:textId="77777777" w:rsidR="0033517B" w:rsidRPr="002262E0" w:rsidRDefault="0033517B" w:rsidP="002A73BE">
            <w:pPr>
              <w:jc w:val="center"/>
              <w:rPr>
                <w:rFonts w:cs="Arial"/>
                <w:sz w:val="20"/>
                <w:lang w:eastAsia="en-GB"/>
              </w:rPr>
            </w:pPr>
            <w:r w:rsidRPr="002262E0">
              <w:rPr>
                <w:rFonts w:cs="Arial"/>
                <w:sz w:val="20"/>
                <w:lang w:eastAsia="en-GB"/>
              </w:rPr>
              <w:t>2020/21</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1D5C8975" w14:textId="77777777" w:rsidR="0033517B" w:rsidRPr="002262E0" w:rsidRDefault="0033517B" w:rsidP="002A73BE">
            <w:pPr>
              <w:rPr>
                <w:rFonts w:cs="Arial"/>
                <w:sz w:val="20"/>
                <w:lang w:eastAsia="en-GB"/>
              </w:rPr>
            </w:pPr>
            <w:r w:rsidRPr="002262E0">
              <w:rPr>
                <w:rFonts w:cs="Arial"/>
                <w:sz w:val="20"/>
                <w:lang w:eastAsia="en-GB"/>
              </w:rPr>
              <w:t>Harrow Arts Centre - refurbishment &amp; new build</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02120687" w14:textId="77777777" w:rsidR="0033517B" w:rsidRPr="002262E0" w:rsidRDefault="0033517B" w:rsidP="002A73BE">
            <w:pPr>
              <w:jc w:val="right"/>
              <w:rPr>
                <w:rFonts w:cs="Arial"/>
                <w:sz w:val="20"/>
                <w:lang w:eastAsia="en-GB"/>
              </w:rPr>
            </w:pPr>
            <w:r w:rsidRPr="002262E0">
              <w:rPr>
                <w:rFonts w:cs="Arial"/>
                <w:sz w:val="20"/>
                <w:lang w:eastAsia="en-GB"/>
              </w:rPr>
              <w:t>599,000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891254A"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43503CDC"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783B9E7F"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223C7635"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048FA3B4" w14:textId="77777777" w:rsidR="0033517B" w:rsidRPr="002262E0" w:rsidRDefault="0033517B" w:rsidP="002A73BE">
            <w:pPr>
              <w:jc w:val="right"/>
              <w:rPr>
                <w:rFonts w:cs="Arial"/>
                <w:sz w:val="20"/>
                <w:lang w:eastAsia="en-GB"/>
              </w:rPr>
            </w:pPr>
            <w:r w:rsidRPr="002262E0">
              <w:rPr>
                <w:rFonts w:cs="Arial"/>
                <w:sz w:val="20"/>
                <w:lang w:eastAsia="en-GB"/>
              </w:rPr>
              <w:t>599,000</w:t>
            </w:r>
          </w:p>
        </w:tc>
      </w:tr>
      <w:tr w:rsidR="0033517B" w:rsidRPr="002262E0" w14:paraId="20E0653E" w14:textId="77777777" w:rsidTr="002A73BE">
        <w:trPr>
          <w:trHeight w:val="3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7914098" w14:textId="77777777" w:rsidR="0033517B" w:rsidRPr="002262E0" w:rsidRDefault="0033517B" w:rsidP="002A73BE">
            <w:pPr>
              <w:jc w:val="center"/>
              <w:rPr>
                <w:rFonts w:cs="Arial"/>
                <w:sz w:val="20"/>
                <w:lang w:eastAsia="en-GB"/>
              </w:rPr>
            </w:pPr>
            <w:r w:rsidRPr="002262E0">
              <w:rPr>
                <w:rFonts w:cs="Arial"/>
                <w:sz w:val="20"/>
                <w:lang w:eastAsia="en-GB"/>
              </w:rPr>
              <w:t>2020/21</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3A67BA78" w14:textId="77777777" w:rsidR="0033517B" w:rsidRPr="002262E0" w:rsidRDefault="0033517B" w:rsidP="002A73BE">
            <w:pPr>
              <w:rPr>
                <w:rFonts w:cs="Arial"/>
                <w:sz w:val="20"/>
                <w:lang w:eastAsia="en-GB"/>
              </w:rPr>
            </w:pPr>
            <w:r w:rsidRPr="002262E0">
              <w:rPr>
                <w:rFonts w:cs="Arial"/>
                <w:sz w:val="20"/>
                <w:lang w:eastAsia="en-GB"/>
              </w:rPr>
              <w:t>Harrow Town War Memorial</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386970BA"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0164EF6" w14:textId="77777777" w:rsidR="0033517B" w:rsidRPr="002262E0" w:rsidRDefault="0033517B" w:rsidP="002A73BE">
            <w:pPr>
              <w:jc w:val="right"/>
              <w:rPr>
                <w:rFonts w:cs="Arial"/>
                <w:sz w:val="20"/>
                <w:lang w:eastAsia="en-GB"/>
              </w:rPr>
            </w:pPr>
            <w:r w:rsidRPr="002262E0">
              <w:rPr>
                <w:rFonts w:cs="Arial"/>
                <w:sz w:val="20"/>
                <w:lang w:eastAsia="en-GB"/>
              </w:rPr>
              <w:t>31,900</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32E00078"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567ED1E9" w14:textId="77777777" w:rsidR="0033517B" w:rsidRPr="002262E0" w:rsidRDefault="0033517B" w:rsidP="002A73BE">
            <w:pPr>
              <w:jc w:val="right"/>
              <w:rPr>
                <w:rFonts w:cs="Arial"/>
                <w:sz w:val="20"/>
                <w:lang w:eastAsia="en-GB"/>
              </w:rPr>
            </w:pPr>
            <w:r w:rsidRPr="002262E0">
              <w:rPr>
                <w:rFonts w:cs="Arial"/>
                <w:sz w:val="20"/>
                <w:lang w:eastAsia="en-GB"/>
              </w:rPr>
              <w:t>23,559</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5A47BB13"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0CE0A32B" w14:textId="77777777" w:rsidR="0033517B" w:rsidRPr="002262E0" w:rsidRDefault="0033517B" w:rsidP="002A73BE">
            <w:pPr>
              <w:jc w:val="right"/>
              <w:rPr>
                <w:rFonts w:cs="Arial"/>
                <w:sz w:val="20"/>
                <w:lang w:eastAsia="en-GB"/>
              </w:rPr>
            </w:pPr>
            <w:r w:rsidRPr="002262E0">
              <w:rPr>
                <w:rFonts w:cs="Arial"/>
                <w:sz w:val="20"/>
                <w:lang w:eastAsia="en-GB"/>
              </w:rPr>
              <w:t>8,341</w:t>
            </w:r>
          </w:p>
        </w:tc>
      </w:tr>
      <w:tr w:rsidR="0033517B" w:rsidRPr="002262E0" w14:paraId="21EC96E3" w14:textId="77777777" w:rsidTr="002A73BE">
        <w:trPr>
          <w:trHeight w:val="3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B98ACFA" w14:textId="77777777" w:rsidR="0033517B" w:rsidRPr="002262E0" w:rsidRDefault="0033517B" w:rsidP="002A73BE">
            <w:pPr>
              <w:jc w:val="center"/>
              <w:rPr>
                <w:rFonts w:cs="Arial"/>
                <w:sz w:val="20"/>
                <w:lang w:eastAsia="en-GB"/>
              </w:rPr>
            </w:pPr>
            <w:r w:rsidRPr="002262E0">
              <w:rPr>
                <w:rFonts w:cs="Arial"/>
                <w:sz w:val="20"/>
                <w:lang w:eastAsia="en-GB"/>
              </w:rPr>
              <w:t>2020/21</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0B30C82B" w14:textId="77777777" w:rsidR="0033517B" w:rsidRPr="002262E0" w:rsidRDefault="0033517B" w:rsidP="002A73BE">
            <w:pPr>
              <w:rPr>
                <w:rFonts w:cs="Arial"/>
                <w:sz w:val="20"/>
                <w:lang w:eastAsia="en-GB"/>
              </w:rPr>
            </w:pPr>
            <w:r w:rsidRPr="002262E0">
              <w:rPr>
                <w:rFonts w:cs="Arial"/>
                <w:sz w:val="20"/>
                <w:lang w:eastAsia="en-GB"/>
              </w:rPr>
              <w:t>Creation and establishment of a Longhorn cattle herd in Bentley Priory</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697BC8D3"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CD43120" w14:textId="77777777" w:rsidR="0033517B" w:rsidRPr="002262E0" w:rsidRDefault="0033517B" w:rsidP="002A73BE">
            <w:pPr>
              <w:jc w:val="right"/>
              <w:rPr>
                <w:rFonts w:cs="Arial"/>
                <w:sz w:val="20"/>
                <w:lang w:eastAsia="en-GB"/>
              </w:rPr>
            </w:pPr>
            <w:r w:rsidRPr="002262E0">
              <w:rPr>
                <w:rFonts w:cs="Arial"/>
                <w:sz w:val="20"/>
                <w:lang w:eastAsia="en-GB"/>
              </w:rPr>
              <w:t>32,860</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036D76BD"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1970E989" w14:textId="77777777" w:rsidR="0033517B" w:rsidRPr="002262E0" w:rsidRDefault="0033517B" w:rsidP="002A73BE">
            <w:pPr>
              <w:jc w:val="right"/>
              <w:rPr>
                <w:rFonts w:cs="Arial"/>
                <w:sz w:val="20"/>
                <w:lang w:eastAsia="en-GB"/>
              </w:rPr>
            </w:pPr>
            <w:r w:rsidRPr="002262E0">
              <w:rPr>
                <w:rFonts w:cs="Arial"/>
                <w:sz w:val="20"/>
                <w:lang w:eastAsia="en-GB"/>
              </w:rPr>
              <w:t>15,000</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1BBBDB14" w14:textId="77777777" w:rsidR="0033517B" w:rsidRPr="002262E0" w:rsidRDefault="0033517B" w:rsidP="002A73BE">
            <w:pPr>
              <w:jc w:val="right"/>
              <w:rPr>
                <w:rFonts w:cs="Arial"/>
                <w:sz w:val="20"/>
                <w:lang w:eastAsia="en-GB"/>
              </w:rPr>
            </w:pPr>
            <w:r w:rsidRPr="002262E0">
              <w:rPr>
                <w:rFonts w:cs="Arial"/>
                <w:sz w:val="20"/>
                <w:lang w:eastAsia="en-GB"/>
              </w:rPr>
              <w:t>10,000</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10D04B7C" w14:textId="77777777" w:rsidR="0033517B" w:rsidRPr="002262E0" w:rsidRDefault="0033517B" w:rsidP="002A73BE">
            <w:pPr>
              <w:jc w:val="right"/>
              <w:rPr>
                <w:rFonts w:cs="Arial"/>
                <w:sz w:val="20"/>
                <w:lang w:eastAsia="en-GB"/>
              </w:rPr>
            </w:pPr>
            <w:r w:rsidRPr="002262E0">
              <w:rPr>
                <w:rFonts w:cs="Arial"/>
                <w:sz w:val="20"/>
                <w:lang w:eastAsia="en-GB"/>
              </w:rPr>
              <w:t>7,860</w:t>
            </w:r>
          </w:p>
        </w:tc>
      </w:tr>
      <w:tr w:rsidR="0033517B" w:rsidRPr="002262E0" w14:paraId="3358CE91" w14:textId="77777777" w:rsidTr="002A73BE">
        <w:trPr>
          <w:trHeight w:val="34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C6536D8" w14:textId="77777777" w:rsidR="0033517B" w:rsidRPr="002262E0" w:rsidRDefault="0033517B" w:rsidP="002A73BE">
            <w:pPr>
              <w:jc w:val="center"/>
              <w:rPr>
                <w:rFonts w:cs="Arial"/>
                <w:sz w:val="20"/>
                <w:lang w:eastAsia="en-GB"/>
              </w:rPr>
            </w:pPr>
            <w:r w:rsidRPr="002262E0">
              <w:rPr>
                <w:rFonts w:cs="Arial"/>
                <w:sz w:val="20"/>
                <w:lang w:eastAsia="en-GB"/>
              </w:rPr>
              <w:t>2020/21</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21F5AEAC" w14:textId="77777777" w:rsidR="0033517B" w:rsidRPr="002262E0" w:rsidRDefault="0033517B" w:rsidP="002A73BE">
            <w:pPr>
              <w:rPr>
                <w:rFonts w:cs="Arial"/>
                <w:sz w:val="20"/>
                <w:lang w:eastAsia="en-GB"/>
              </w:rPr>
            </w:pPr>
            <w:r w:rsidRPr="002262E0">
              <w:rPr>
                <w:rFonts w:cs="Arial"/>
                <w:sz w:val="20"/>
                <w:lang w:eastAsia="en-GB"/>
              </w:rPr>
              <w:t>High Street Fund</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693ACAC8" w14:textId="77777777" w:rsidR="0033517B" w:rsidRPr="002262E0" w:rsidRDefault="0033517B" w:rsidP="002A73BE">
            <w:pPr>
              <w:jc w:val="right"/>
              <w:rPr>
                <w:rFonts w:cs="Arial"/>
                <w:sz w:val="20"/>
                <w:lang w:eastAsia="en-GB"/>
              </w:rPr>
            </w:pPr>
            <w:r w:rsidRPr="002262E0">
              <w:rPr>
                <w:rFonts w:cs="Arial"/>
                <w:sz w:val="20"/>
                <w:lang w:eastAsia="en-GB"/>
              </w:rPr>
              <w:t>250,000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F8253BE" w14:textId="77777777" w:rsidR="0033517B" w:rsidRPr="002262E0" w:rsidRDefault="0033517B" w:rsidP="002A73BE">
            <w:pPr>
              <w:jc w:val="right"/>
              <w:rPr>
                <w:rFonts w:cs="Arial"/>
                <w:sz w:val="20"/>
                <w:lang w:eastAsia="en-GB"/>
              </w:rPr>
            </w:pP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15D367E2"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6A4503FE" w14:textId="77777777" w:rsidR="0033517B" w:rsidRPr="002262E0" w:rsidRDefault="0033517B" w:rsidP="002A73BE">
            <w:pPr>
              <w:jc w:val="right"/>
              <w:rPr>
                <w:rFonts w:cs="Arial"/>
                <w:sz w:val="20"/>
                <w:lang w:eastAsia="en-GB"/>
              </w:rPr>
            </w:pPr>
            <w:r w:rsidRPr="002262E0">
              <w:rPr>
                <w:rFonts w:cs="Arial"/>
                <w:sz w:val="20"/>
                <w:lang w:eastAsia="en-GB"/>
              </w:rPr>
              <w:t>152,733</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74B71EA2" w14:textId="77777777" w:rsidR="0033517B" w:rsidRPr="002262E0" w:rsidRDefault="0033517B" w:rsidP="002A73BE">
            <w:pPr>
              <w:jc w:val="right"/>
              <w:rPr>
                <w:rFonts w:cs="Arial"/>
                <w:sz w:val="20"/>
                <w:lang w:eastAsia="en-GB"/>
              </w:rPr>
            </w:pPr>
            <w:r w:rsidRPr="002262E0">
              <w:rPr>
                <w:rFonts w:cs="Arial"/>
                <w:sz w:val="20"/>
                <w:lang w:eastAsia="en-GB"/>
              </w:rPr>
              <w:t>97,267</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301F1441" w14:textId="77777777" w:rsidR="0033517B" w:rsidRPr="002262E0" w:rsidRDefault="0033517B" w:rsidP="002A73BE">
            <w:pPr>
              <w:jc w:val="right"/>
              <w:rPr>
                <w:rFonts w:cs="Arial"/>
                <w:sz w:val="20"/>
                <w:lang w:eastAsia="en-GB"/>
              </w:rPr>
            </w:pPr>
            <w:r w:rsidRPr="002262E0">
              <w:rPr>
                <w:rFonts w:cs="Arial"/>
                <w:sz w:val="20"/>
                <w:lang w:eastAsia="en-GB"/>
              </w:rPr>
              <w:t>0</w:t>
            </w:r>
          </w:p>
        </w:tc>
      </w:tr>
      <w:tr w:rsidR="0033517B" w:rsidRPr="002262E0" w14:paraId="3F31BAB3" w14:textId="77777777" w:rsidTr="002A73BE">
        <w:trPr>
          <w:trHeight w:val="403"/>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0F9590E" w14:textId="77777777" w:rsidR="0033517B" w:rsidRPr="002262E0" w:rsidRDefault="0033517B" w:rsidP="002A73BE">
            <w:pPr>
              <w:jc w:val="center"/>
              <w:rPr>
                <w:rFonts w:cs="Arial"/>
                <w:sz w:val="20"/>
                <w:lang w:eastAsia="en-GB"/>
              </w:rPr>
            </w:pPr>
            <w:r w:rsidRPr="002262E0">
              <w:rPr>
                <w:rFonts w:cs="Arial"/>
                <w:sz w:val="20"/>
                <w:lang w:eastAsia="en-GB"/>
              </w:rPr>
              <w:t>2020/21</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28DA59C2" w14:textId="77777777" w:rsidR="0033517B" w:rsidRPr="002262E0" w:rsidRDefault="0033517B" w:rsidP="002A73BE">
            <w:pPr>
              <w:rPr>
                <w:rFonts w:cs="Arial"/>
                <w:sz w:val="20"/>
                <w:lang w:eastAsia="en-GB"/>
              </w:rPr>
            </w:pPr>
            <w:r w:rsidRPr="002262E0">
              <w:rPr>
                <w:rFonts w:cs="Arial"/>
                <w:sz w:val="20"/>
                <w:lang w:eastAsia="en-GB"/>
              </w:rPr>
              <w:t>Stanmore Ward - Dennis Lane Traffic Calming</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5BB24210"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609D50CD" w14:textId="77777777" w:rsidR="0033517B" w:rsidRPr="002262E0" w:rsidRDefault="0033517B" w:rsidP="002A73BE">
            <w:pPr>
              <w:jc w:val="right"/>
              <w:rPr>
                <w:rFonts w:cs="Arial"/>
                <w:sz w:val="20"/>
                <w:lang w:eastAsia="en-GB"/>
              </w:rPr>
            </w:pPr>
            <w:r w:rsidRPr="002262E0">
              <w:rPr>
                <w:rFonts w:cs="Arial"/>
                <w:sz w:val="20"/>
                <w:lang w:eastAsia="en-GB"/>
              </w:rPr>
              <w:t>20,000</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0E31C562"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266DEC36"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620BA284" w14:textId="77777777" w:rsidR="0033517B" w:rsidRPr="002262E0" w:rsidRDefault="0033517B" w:rsidP="002A73BE">
            <w:pPr>
              <w:jc w:val="right"/>
              <w:rPr>
                <w:rFonts w:cs="Arial"/>
                <w:sz w:val="20"/>
                <w:lang w:eastAsia="en-GB"/>
              </w:rPr>
            </w:pPr>
            <w:r w:rsidRPr="002262E0">
              <w:rPr>
                <w:rFonts w:cs="Arial"/>
                <w:sz w:val="20"/>
                <w:lang w:eastAsia="en-GB"/>
              </w:rPr>
              <w:t>237</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7366860E" w14:textId="77777777" w:rsidR="0033517B" w:rsidRPr="002262E0" w:rsidRDefault="0033517B" w:rsidP="002A73BE">
            <w:pPr>
              <w:jc w:val="right"/>
              <w:rPr>
                <w:rFonts w:cs="Arial"/>
                <w:sz w:val="20"/>
                <w:lang w:eastAsia="en-GB"/>
              </w:rPr>
            </w:pPr>
            <w:r w:rsidRPr="002262E0">
              <w:rPr>
                <w:rFonts w:cs="Arial"/>
                <w:sz w:val="20"/>
                <w:lang w:eastAsia="en-GB"/>
              </w:rPr>
              <w:t>19,763</w:t>
            </w:r>
          </w:p>
        </w:tc>
      </w:tr>
      <w:tr w:rsidR="0033517B" w:rsidRPr="002262E0" w14:paraId="6EBDE452" w14:textId="77777777" w:rsidTr="002A73BE">
        <w:trPr>
          <w:trHeight w:val="422"/>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1D4495B" w14:textId="77777777" w:rsidR="0033517B" w:rsidRPr="002262E0" w:rsidRDefault="0033517B" w:rsidP="002A73BE">
            <w:pPr>
              <w:jc w:val="center"/>
              <w:rPr>
                <w:rFonts w:cs="Arial"/>
                <w:sz w:val="20"/>
                <w:lang w:eastAsia="en-GB"/>
              </w:rPr>
            </w:pPr>
            <w:r w:rsidRPr="002262E0">
              <w:rPr>
                <w:rFonts w:cs="Arial"/>
                <w:sz w:val="20"/>
                <w:lang w:eastAsia="en-GB"/>
              </w:rPr>
              <w:t>2020/21</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780F0A36" w14:textId="77777777" w:rsidR="0033517B" w:rsidRPr="002262E0" w:rsidRDefault="0033517B" w:rsidP="002A73BE">
            <w:pPr>
              <w:rPr>
                <w:rFonts w:cs="Arial"/>
                <w:sz w:val="20"/>
                <w:lang w:eastAsia="en-GB"/>
              </w:rPr>
            </w:pPr>
            <w:r w:rsidRPr="002262E0">
              <w:rPr>
                <w:rFonts w:cs="Arial"/>
                <w:sz w:val="20"/>
                <w:lang w:eastAsia="en-GB"/>
              </w:rPr>
              <w:t>Stanmore Marsh and Brockley Hill Open Space</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7407B805"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672B8223" w14:textId="77777777" w:rsidR="0033517B" w:rsidRPr="002262E0" w:rsidRDefault="0033517B" w:rsidP="002A73BE">
            <w:pPr>
              <w:jc w:val="right"/>
              <w:rPr>
                <w:rFonts w:cs="Arial"/>
                <w:sz w:val="20"/>
                <w:lang w:eastAsia="en-GB"/>
              </w:rPr>
            </w:pPr>
            <w:r w:rsidRPr="002262E0">
              <w:rPr>
                <w:rFonts w:cs="Arial"/>
                <w:sz w:val="20"/>
                <w:lang w:eastAsia="en-GB"/>
              </w:rPr>
              <w:t>23,000</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0B2C6F54"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42B7B199"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1C250A62"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540C163C" w14:textId="77777777" w:rsidR="0033517B" w:rsidRPr="002262E0" w:rsidRDefault="0033517B" w:rsidP="002A73BE">
            <w:pPr>
              <w:jc w:val="right"/>
              <w:rPr>
                <w:rFonts w:cs="Arial"/>
                <w:sz w:val="20"/>
                <w:lang w:eastAsia="en-GB"/>
              </w:rPr>
            </w:pPr>
            <w:r w:rsidRPr="002262E0">
              <w:rPr>
                <w:rFonts w:cs="Arial"/>
                <w:sz w:val="20"/>
                <w:lang w:eastAsia="en-GB"/>
              </w:rPr>
              <w:t>23,000</w:t>
            </w:r>
          </w:p>
        </w:tc>
      </w:tr>
      <w:tr w:rsidR="0033517B" w:rsidRPr="002262E0" w14:paraId="461DDA1B" w14:textId="77777777" w:rsidTr="002A73BE">
        <w:trPr>
          <w:trHeight w:val="3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5ED068B" w14:textId="77777777" w:rsidR="0033517B" w:rsidRPr="002262E0" w:rsidRDefault="0033517B" w:rsidP="002A73BE">
            <w:pPr>
              <w:jc w:val="center"/>
              <w:rPr>
                <w:rFonts w:cs="Arial"/>
                <w:sz w:val="20"/>
                <w:lang w:eastAsia="en-GB"/>
              </w:rPr>
            </w:pPr>
            <w:r w:rsidRPr="002262E0">
              <w:rPr>
                <w:rFonts w:cs="Arial"/>
                <w:sz w:val="20"/>
                <w:lang w:eastAsia="en-GB"/>
              </w:rPr>
              <w:t>2021/22</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7120B392" w14:textId="77777777" w:rsidR="0033517B" w:rsidRPr="002262E0" w:rsidRDefault="0033517B" w:rsidP="002A73BE">
            <w:pPr>
              <w:rPr>
                <w:rFonts w:cs="Arial"/>
                <w:sz w:val="20"/>
                <w:lang w:eastAsia="en-GB"/>
              </w:rPr>
            </w:pPr>
            <w:r w:rsidRPr="002262E0">
              <w:rPr>
                <w:rFonts w:cs="Arial"/>
                <w:sz w:val="20"/>
                <w:lang w:eastAsia="en-GB"/>
              </w:rPr>
              <w:t>Green Grid</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0E95E745" w14:textId="77777777" w:rsidR="0033517B" w:rsidRPr="002262E0" w:rsidRDefault="0033517B" w:rsidP="002A73BE">
            <w:pPr>
              <w:jc w:val="right"/>
              <w:rPr>
                <w:rFonts w:cs="Arial"/>
                <w:sz w:val="20"/>
                <w:lang w:eastAsia="en-GB"/>
              </w:rPr>
            </w:pPr>
            <w:r w:rsidRPr="002262E0">
              <w:rPr>
                <w:rFonts w:cs="Arial"/>
                <w:sz w:val="20"/>
                <w:lang w:eastAsia="en-GB"/>
              </w:rPr>
              <w:t>150,000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27D60607"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58B20AB7"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4151F5F5"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00558BEE" w14:textId="77777777" w:rsidR="0033517B" w:rsidRPr="002262E0" w:rsidRDefault="0033517B" w:rsidP="002A73BE">
            <w:pPr>
              <w:jc w:val="right"/>
              <w:rPr>
                <w:rFonts w:cs="Arial"/>
                <w:sz w:val="20"/>
                <w:lang w:eastAsia="en-GB"/>
              </w:rPr>
            </w:pPr>
            <w:r w:rsidRPr="002262E0">
              <w:rPr>
                <w:rFonts w:cs="Arial"/>
                <w:sz w:val="20"/>
                <w:lang w:eastAsia="en-GB"/>
              </w:rPr>
              <w:t>130,270</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6CE5C75B" w14:textId="77777777" w:rsidR="0033517B" w:rsidRPr="002262E0" w:rsidRDefault="0033517B" w:rsidP="002A73BE">
            <w:pPr>
              <w:jc w:val="right"/>
              <w:rPr>
                <w:rFonts w:cs="Arial"/>
                <w:sz w:val="20"/>
                <w:lang w:eastAsia="en-GB"/>
              </w:rPr>
            </w:pPr>
            <w:r w:rsidRPr="002262E0">
              <w:rPr>
                <w:rFonts w:cs="Arial"/>
                <w:sz w:val="20"/>
                <w:lang w:eastAsia="en-GB"/>
              </w:rPr>
              <w:t>19,730</w:t>
            </w:r>
          </w:p>
        </w:tc>
      </w:tr>
      <w:tr w:rsidR="0033517B" w:rsidRPr="002262E0" w14:paraId="74AD2CF6" w14:textId="77777777" w:rsidTr="002A73BE">
        <w:trPr>
          <w:trHeight w:val="289"/>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2452331" w14:textId="77777777" w:rsidR="0033517B" w:rsidRPr="002262E0" w:rsidRDefault="0033517B" w:rsidP="002A73BE">
            <w:pPr>
              <w:jc w:val="center"/>
              <w:rPr>
                <w:rFonts w:cs="Arial"/>
                <w:sz w:val="20"/>
                <w:lang w:eastAsia="en-GB"/>
              </w:rPr>
            </w:pPr>
            <w:r w:rsidRPr="002262E0">
              <w:rPr>
                <w:rFonts w:cs="Arial"/>
                <w:sz w:val="20"/>
                <w:lang w:eastAsia="en-GB"/>
              </w:rPr>
              <w:t>2021/22</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3163B910" w14:textId="77777777" w:rsidR="0033517B" w:rsidRPr="002262E0" w:rsidRDefault="0033517B" w:rsidP="002A73BE">
            <w:pPr>
              <w:rPr>
                <w:rFonts w:cs="Arial"/>
                <w:sz w:val="20"/>
                <w:lang w:eastAsia="en-GB"/>
              </w:rPr>
            </w:pPr>
            <w:r w:rsidRPr="002262E0">
              <w:rPr>
                <w:rFonts w:cs="Arial"/>
                <w:sz w:val="20"/>
                <w:lang w:eastAsia="en-GB"/>
              </w:rPr>
              <w:t>Flood Defence &amp; Highway Drainage</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59BF5F5F" w14:textId="77777777" w:rsidR="0033517B" w:rsidRPr="002262E0" w:rsidRDefault="0033517B" w:rsidP="002A73BE">
            <w:pPr>
              <w:jc w:val="right"/>
              <w:rPr>
                <w:rFonts w:cs="Arial"/>
                <w:sz w:val="20"/>
                <w:lang w:eastAsia="en-GB"/>
              </w:rPr>
            </w:pPr>
            <w:r w:rsidRPr="002262E0">
              <w:rPr>
                <w:rFonts w:cs="Arial"/>
                <w:sz w:val="20"/>
                <w:lang w:eastAsia="en-GB"/>
              </w:rPr>
              <w:t>500,000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1DBAB813"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1F346E59"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3979FDB6"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1806FD7F" w14:textId="77777777" w:rsidR="0033517B" w:rsidRPr="002262E0" w:rsidRDefault="0033517B" w:rsidP="002A73BE">
            <w:pPr>
              <w:jc w:val="right"/>
              <w:rPr>
                <w:rFonts w:cs="Arial"/>
                <w:sz w:val="20"/>
                <w:lang w:eastAsia="en-GB"/>
              </w:rPr>
            </w:pPr>
            <w:r w:rsidRPr="002262E0">
              <w:rPr>
                <w:rFonts w:cs="Arial"/>
                <w:sz w:val="20"/>
                <w:lang w:eastAsia="en-GB"/>
              </w:rPr>
              <w:t>414,953</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5F37A476" w14:textId="77777777" w:rsidR="0033517B" w:rsidRPr="002262E0" w:rsidRDefault="0033517B" w:rsidP="002A73BE">
            <w:pPr>
              <w:jc w:val="right"/>
              <w:rPr>
                <w:rFonts w:cs="Arial"/>
                <w:sz w:val="20"/>
                <w:lang w:eastAsia="en-GB"/>
              </w:rPr>
            </w:pPr>
            <w:r w:rsidRPr="002262E0">
              <w:rPr>
                <w:rFonts w:cs="Arial"/>
                <w:sz w:val="20"/>
                <w:lang w:eastAsia="en-GB"/>
              </w:rPr>
              <w:t>85,047</w:t>
            </w:r>
          </w:p>
        </w:tc>
      </w:tr>
      <w:tr w:rsidR="0033517B" w:rsidRPr="002262E0" w14:paraId="3097D125" w14:textId="77777777" w:rsidTr="002A73BE">
        <w:trPr>
          <w:trHeight w:val="3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2A2E15D" w14:textId="77777777" w:rsidR="0033517B" w:rsidRPr="002262E0" w:rsidRDefault="0033517B" w:rsidP="002A73BE">
            <w:pPr>
              <w:jc w:val="center"/>
              <w:rPr>
                <w:rFonts w:cs="Arial"/>
                <w:sz w:val="20"/>
                <w:lang w:eastAsia="en-GB"/>
              </w:rPr>
            </w:pPr>
            <w:r w:rsidRPr="002262E0">
              <w:rPr>
                <w:rFonts w:cs="Arial"/>
                <w:sz w:val="20"/>
                <w:lang w:eastAsia="en-GB"/>
              </w:rPr>
              <w:t>2021/22</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2DAC7A56" w14:textId="77777777" w:rsidR="0033517B" w:rsidRPr="002262E0" w:rsidRDefault="0033517B" w:rsidP="002A73BE">
            <w:pPr>
              <w:rPr>
                <w:rFonts w:cs="Arial"/>
                <w:sz w:val="20"/>
                <w:lang w:eastAsia="en-GB"/>
              </w:rPr>
            </w:pPr>
            <w:r w:rsidRPr="002262E0">
              <w:rPr>
                <w:rFonts w:cs="Arial"/>
                <w:sz w:val="20"/>
                <w:lang w:eastAsia="en-GB"/>
              </w:rPr>
              <w:t>Wealdstone Major Transport Infrastructure projects - Bus Improvement</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4CDE0F01" w14:textId="77777777" w:rsidR="0033517B" w:rsidRPr="002262E0" w:rsidRDefault="0033517B" w:rsidP="002A73BE">
            <w:pPr>
              <w:jc w:val="right"/>
              <w:rPr>
                <w:rFonts w:cs="Arial"/>
                <w:sz w:val="20"/>
                <w:lang w:eastAsia="en-GB"/>
              </w:rPr>
            </w:pPr>
            <w:r w:rsidRPr="002262E0">
              <w:rPr>
                <w:rFonts w:cs="Arial"/>
                <w:sz w:val="20"/>
                <w:lang w:eastAsia="en-GB"/>
              </w:rPr>
              <w:t>900,000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7DF28A6D"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5CB57B78"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394E9ECF"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182F3A7A"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66E3148A" w14:textId="77777777" w:rsidR="0033517B" w:rsidRPr="002262E0" w:rsidRDefault="0033517B" w:rsidP="002A73BE">
            <w:pPr>
              <w:jc w:val="right"/>
              <w:rPr>
                <w:rFonts w:cs="Arial"/>
                <w:sz w:val="20"/>
                <w:lang w:eastAsia="en-GB"/>
              </w:rPr>
            </w:pPr>
            <w:r w:rsidRPr="002262E0">
              <w:rPr>
                <w:rFonts w:cs="Arial"/>
                <w:sz w:val="20"/>
                <w:lang w:eastAsia="en-GB"/>
              </w:rPr>
              <w:t>900,000</w:t>
            </w:r>
          </w:p>
        </w:tc>
      </w:tr>
      <w:tr w:rsidR="0033517B" w:rsidRPr="002262E0" w14:paraId="66563243" w14:textId="77777777" w:rsidTr="002A73BE">
        <w:trPr>
          <w:trHeight w:val="3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B3F3834" w14:textId="77777777" w:rsidR="0033517B" w:rsidRPr="002262E0" w:rsidRDefault="0033517B" w:rsidP="002A73BE">
            <w:pPr>
              <w:jc w:val="center"/>
              <w:rPr>
                <w:rFonts w:cs="Arial"/>
                <w:sz w:val="20"/>
                <w:lang w:eastAsia="en-GB"/>
              </w:rPr>
            </w:pPr>
            <w:r w:rsidRPr="002262E0">
              <w:rPr>
                <w:rFonts w:cs="Arial"/>
                <w:sz w:val="20"/>
                <w:lang w:eastAsia="en-GB"/>
              </w:rPr>
              <w:t>2021/22</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535C12D5" w14:textId="77777777" w:rsidR="0033517B" w:rsidRPr="002262E0" w:rsidRDefault="0033517B" w:rsidP="002A73BE">
            <w:pPr>
              <w:rPr>
                <w:rFonts w:cs="Arial"/>
                <w:sz w:val="20"/>
                <w:lang w:eastAsia="en-GB"/>
              </w:rPr>
            </w:pPr>
            <w:r w:rsidRPr="002262E0">
              <w:rPr>
                <w:rFonts w:cs="Arial"/>
                <w:sz w:val="20"/>
                <w:lang w:eastAsia="en-GB"/>
              </w:rPr>
              <w:t>Harrow Arts Centre - refurbishment &amp; new build</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0E4B5D75" w14:textId="77777777" w:rsidR="0033517B" w:rsidRPr="002262E0" w:rsidRDefault="0033517B" w:rsidP="002A73BE">
            <w:pPr>
              <w:jc w:val="right"/>
              <w:rPr>
                <w:rFonts w:cs="Arial"/>
                <w:sz w:val="20"/>
                <w:lang w:eastAsia="en-GB"/>
              </w:rPr>
            </w:pPr>
            <w:r w:rsidRPr="002262E0">
              <w:rPr>
                <w:rFonts w:cs="Arial"/>
                <w:sz w:val="20"/>
                <w:lang w:eastAsia="en-GB"/>
              </w:rPr>
              <w:t>1,177,000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7C4D1071"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337CAF12"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51550E4B"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47123B65"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217D7DF7" w14:textId="77777777" w:rsidR="0033517B" w:rsidRPr="002262E0" w:rsidRDefault="0033517B" w:rsidP="002A73BE">
            <w:pPr>
              <w:jc w:val="right"/>
              <w:rPr>
                <w:rFonts w:cs="Arial"/>
                <w:sz w:val="20"/>
                <w:lang w:eastAsia="en-GB"/>
              </w:rPr>
            </w:pPr>
            <w:r w:rsidRPr="002262E0">
              <w:rPr>
                <w:rFonts w:cs="Arial"/>
                <w:sz w:val="20"/>
                <w:lang w:eastAsia="en-GB"/>
              </w:rPr>
              <w:t>1,177,000</w:t>
            </w:r>
          </w:p>
        </w:tc>
      </w:tr>
      <w:tr w:rsidR="0033517B" w:rsidRPr="002262E0" w14:paraId="6240E4FF" w14:textId="77777777" w:rsidTr="002A73BE">
        <w:trPr>
          <w:trHeight w:val="3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D323C3" w14:textId="77777777" w:rsidR="0033517B" w:rsidRPr="002262E0" w:rsidRDefault="0033517B" w:rsidP="002A73BE">
            <w:pPr>
              <w:jc w:val="center"/>
              <w:rPr>
                <w:rFonts w:cs="Arial"/>
                <w:sz w:val="20"/>
                <w:lang w:eastAsia="en-GB"/>
              </w:rPr>
            </w:pPr>
            <w:r w:rsidRPr="002262E0">
              <w:rPr>
                <w:rFonts w:cs="Arial"/>
                <w:sz w:val="20"/>
                <w:lang w:eastAsia="en-GB"/>
              </w:rPr>
              <w:lastRenderedPageBreak/>
              <w:t>2021/22</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260FA724" w14:textId="77777777" w:rsidR="0033517B" w:rsidRPr="002262E0" w:rsidRDefault="0033517B" w:rsidP="002A73BE">
            <w:pPr>
              <w:rPr>
                <w:rFonts w:cs="Arial"/>
                <w:sz w:val="20"/>
                <w:lang w:eastAsia="en-GB"/>
              </w:rPr>
            </w:pPr>
            <w:r w:rsidRPr="002262E0">
              <w:rPr>
                <w:rFonts w:cs="Arial"/>
                <w:sz w:val="20"/>
                <w:lang w:eastAsia="en-GB"/>
              </w:rPr>
              <w:t>High Street Fund</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418BC581" w14:textId="77777777" w:rsidR="0033517B" w:rsidRPr="002262E0" w:rsidRDefault="0033517B" w:rsidP="002A73BE">
            <w:pPr>
              <w:jc w:val="right"/>
              <w:rPr>
                <w:rFonts w:cs="Arial"/>
                <w:sz w:val="20"/>
                <w:lang w:eastAsia="en-GB"/>
              </w:rPr>
            </w:pPr>
            <w:r w:rsidRPr="002262E0">
              <w:rPr>
                <w:rFonts w:cs="Arial"/>
                <w:sz w:val="20"/>
                <w:lang w:eastAsia="en-GB"/>
              </w:rPr>
              <w:t>1,300,000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2A24ACE6"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5C09AE86"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7A7922A4"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1432F739" w14:textId="77777777" w:rsidR="0033517B" w:rsidRPr="002262E0" w:rsidRDefault="0033517B" w:rsidP="002A73BE">
            <w:pPr>
              <w:jc w:val="right"/>
              <w:rPr>
                <w:rFonts w:cs="Arial"/>
                <w:sz w:val="20"/>
                <w:lang w:eastAsia="en-GB"/>
              </w:rPr>
            </w:pPr>
            <w:r w:rsidRPr="002262E0">
              <w:rPr>
                <w:rFonts w:cs="Arial"/>
                <w:sz w:val="20"/>
                <w:lang w:eastAsia="en-GB"/>
              </w:rPr>
              <w:t>568,199</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0243131D" w14:textId="77777777" w:rsidR="0033517B" w:rsidRPr="002262E0" w:rsidRDefault="0033517B" w:rsidP="002A73BE">
            <w:pPr>
              <w:jc w:val="right"/>
              <w:rPr>
                <w:rFonts w:cs="Arial"/>
                <w:sz w:val="20"/>
                <w:lang w:eastAsia="en-GB"/>
              </w:rPr>
            </w:pPr>
            <w:r w:rsidRPr="002262E0">
              <w:rPr>
                <w:rFonts w:cs="Arial"/>
                <w:sz w:val="20"/>
                <w:lang w:eastAsia="en-GB"/>
              </w:rPr>
              <w:t>731,801</w:t>
            </w:r>
          </w:p>
        </w:tc>
      </w:tr>
      <w:tr w:rsidR="0033517B" w:rsidRPr="002262E0" w14:paraId="405F5BB8" w14:textId="77777777" w:rsidTr="002A73BE">
        <w:trPr>
          <w:trHeight w:val="9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9E03F2" w14:textId="77777777" w:rsidR="0033517B" w:rsidRPr="002262E0" w:rsidRDefault="0033517B" w:rsidP="002A73BE">
            <w:pPr>
              <w:jc w:val="center"/>
              <w:rPr>
                <w:rFonts w:cs="Arial"/>
                <w:sz w:val="20"/>
                <w:lang w:eastAsia="en-GB"/>
              </w:rPr>
            </w:pPr>
            <w:r w:rsidRPr="002262E0">
              <w:rPr>
                <w:rFonts w:cs="Arial"/>
                <w:sz w:val="20"/>
                <w:lang w:eastAsia="en-GB"/>
              </w:rPr>
              <w:t>2021/22</w:t>
            </w:r>
          </w:p>
        </w:tc>
        <w:tc>
          <w:tcPr>
            <w:tcW w:w="5408" w:type="dxa"/>
            <w:tcBorders>
              <w:top w:val="nil"/>
              <w:left w:val="nil"/>
              <w:bottom w:val="single" w:sz="4" w:space="0" w:color="auto"/>
              <w:right w:val="single" w:sz="4" w:space="0" w:color="auto"/>
            </w:tcBorders>
            <w:shd w:val="clear" w:color="auto" w:fill="FFFFFF" w:themeFill="background1"/>
            <w:vAlign w:val="center"/>
            <w:hideMark/>
          </w:tcPr>
          <w:p w14:paraId="3F0A4EAE" w14:textId="77777777" w:rsidR="0033517B" w:rsidRPr="002262E0" w:rsidRDefault="0033517B" w:rsidP="002A73BE">
            <w:pPr>
              <w:rPr>
                <w:rFonts w:cs="Arial"/>
                <w:sz w:val="20"/>
                <w:lang w:eastAsia="en-GB"/>
              </w:rPr>
            </w:pPr>
            <w:r w:rsidRPr="002262E0">
              <w:rPr>
                <w:rFonts w:cs="Arial"/>
                <w:sz w:val="20"/>
                <w:lang w:eastAsia="en-GB"/>
              </w:rPr>
              <w:t>Stanmore - Improvement of infrastructure in support of biodiversity and public amenity at Harrow's only wildlife Site of Special Scientific Interest (SSSI) – Bentley Priory.</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0979351E"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9F77374" w14:textId="77777777" w:rsidR="0033517B" w:rsidRPr="002262E0" w:rsidRDefault="0033517B" w:rsidP="002A73BE">
            <w:pPr>
              <w:jc w:val="right"/>
              <w:rPr>
                <w:rFonts w:cs="Arial"/>
                <w:sz w:val="20"/>
                <w:lang w:eastAsia="en-GB"/>
              </w:rPr>
            </w:pPr>
            <w:r w:rsidRPr="002262E0">
              <w:rPr>
                <w:rFonts w:cs="Arial"/>
                <w:sz w:val="20"/>
                <w:lang w:eastAsia="en-GB"/>
              </w:rPr>
              <w:t>10,400</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7514DB6A"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3C326D24"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7591CCD3" w14:textId="77777777" w:rsidR="0033517B" w:rsidRPr="002262E0" w:rsidRDefault="0033517B" w:rsidP="002A73BE">
            <w:pPr>
              <w:jc w:val="right"/>
              <w:rPr>
                <w:rFonts w:cs="Arial"/>
                <w:sz w:val="20"/>
                <w:lang w:eastAsia="en-GB"/>
              </w:rPr>
            </w:pPr>
            <w:r w:rsidRPr="002262E0">
              <w:rPr>
                <w:rFonts w:cs="Arial"/>
                <w:sz w:val="20"/>
                <w:lang w:eastAsia="en-GB"/>
              </w:rPr>
              <w:t>2,945</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756BB72E" w14:textId="77777777" w:rsidR="0033517B" w:rsidRPr="002262E0" w:rsidRDefault="0033517B" w:rsidP="002A73BE">
            <w:pPr>
              <w:jc w:val="right"/>
              <w:rPr>
                <w:rFonts w:cs="Arial"/>
                <w:sz w:val="20"/>
                <w:lang w:eastAsia="en-GB"/>
              </w:rPr>
            </w:pPr>
            <w:r w:rsidRPr="002262E0">
              <w:rPr>
                <w:rFonts w:cs="Arial"/>
                <w:sz w:val="20"/>
                <w:lang w:eastAsia="en-GB"/>
              </w:rPr>
              <w:t>7,455</w:t>
            </w:r>
          </w:p>
        </w:tc>
      </w:tr>
      <w:tr w:rsidR="0033517B" w:rsidRPr="002262E0" w14:paraId="5B48B01D" w14:textId="77777777" w:rsidTr="002A73BE">
        <w:trPr>
          <w:trHeight w:val="3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54E6D00" w14:textId="77777777" w:rsidR="0033517B" w:rsidRPr="002262E0" w:rsidRDefault="0033517B" w:rsidP="002A73BE">
            <w:pPr>
              <w:jc w:val="center"/>
              <w:rPr>
                <w:rFonts w:cs="Arial"/>
                <w:sz w:val="20"/>
                <w:lang w:eastAsia="en-GB"/>
              </w:rPr>
            </w:pPr>
            <w:r w:rsidRPr="002262E0">
              <w:rPr>
                <w:rFonts w:cs="Arial"/>
                <w:sz w:val="20"/>
                <w:lang w:eastAsia="en-GB"/>
              </w:rPr>
              <w:t>2021/22</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4CB85398" w14:textId="77777777" w:rsidR="0033517B" w:rsidRPr="002262E0" w:rsidRDefault="0033517B" w:rsidP="002A73BE">
            <w:pPr>
              <w:rPr>
                <w:rFonts w:cs="Arial"/>
                <w:sz w:val="20"/>
                <w:lang w:eastAsia="en-GB"/>
              </w:rPr>
            </w:pPr>
            <w:r w:rsidRPr="002262E0">
              <w:rPr>
                <w:rFonts w:cs="Arial"/>
                <w:sz w:val="20"/>
                <w:lang w:eastAsia="en-GB"/>
              </w:rPr>
              <w:t>Lowlands - Installation Toddlers play area, Seniors play area and 2 table tennis</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566BC9B5"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025F648" w14:textId="77777777" w:rsidR="0033517B" w:rsidRPr="002262E0" w:rsidRDefault="0033517B" w:rsidP="002A73BE">
            <w:pPr>
              <w:jc w:val="right"/>
              <w:rPr>
                <w:rFonts w:cs="Arial"/>
                <w:sz w:val="20"/>
                <w:lang w:eastAsia="en-GB"/>
              </w:rPr>
            </w:pPr>
            <w:r w:rsidRPr="002262E0">
              <w:rPr>
                <w:rFonts w:cs="Arial"/>
                <w:sz w:val="20"/>
                <w:lang w:eastAsia="en-GB"/>
              </w:rPr>
              <w:t>134,229</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4B65CD3F"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1B7FC05C"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0F033C74" w14:textId="77777777" w:rsidR="0033517B" w:rsidRPr="002262E0" w:rsidRDefault="0033517B" w:rsidP="002A73BE">
            <w:pPr>
              <w:jc w:val="right"/>
              <w:rPr>
                <w:rFonts w:cs="Arial"/>
                <w:sz w:val="20"/>
                <w:lang w:eastAsia="en-GB"/>
              </w:rPr>
            </w:pPr>
            <w:r w:rsidRPr="002262E0">
              <w:rPr>
                <w:rFonts w:cs="Arial"/>
                <w:sz w:val="20"/>
                <w:lang w:eastAsia="en-GB"/>
              </w:rPr>
              <w:t>134,229</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0A32D602" w14:textId="77777777" w:rsidR="0033517B" w:rsidRPr="002262E0" w:rsidRDefault="0033517B" w:rsidP="002A73BE">
            <w:pPr>
              <w:jc w:val="right"/>
              <w:rPr>
                <w:rFonts w:cs="Arial"/>
                <w:sz w:val="20"/>
                <w:lang w:eastAsia="en-GB"/>
              </w:rPr>
            </w:pPr>
            <w:r w:rsidRPr="002262E0">
              <w:rPr>
                <w:rFonts w:cs="Arial"/>
                <w:sz w:val="20"/>
                <w:lang w:eastAsia="en-GB"/>
              </w:rPr>
              <w:t>0</w:t>
            </w:r>
          </w:p>
        </w:tc>
      </w:tr>
      <w:tr w:rsidR="0033517B" w:rsidRPr="002262E0" w14:paraId="0363EAB1" w14:textId="77777777" w:rsidTr="002A73BE">
        <w:trPr>
          <w:trHeight w:val="3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E993AE1" w14:textId="77777777" w:rsidR="0033517B" w:rsidRPr="002262E0" w:rsidRDefault="0033517B" w:rsidP="002A73BE">
            <w:pPr>
              <w:jc w:val="center"/>
              <w:rPr>
                <w:rFonts w:cs="Arial"/>
                <w:sz w:val="20"/>
                <w:lang w:eastAsia="en-GB"/>
              </w:rPr>
            </w:pPr>
            <w:r w:rsidRPr="002262E0">
              <w:rPr>
                <w:rFonts w:cs="Arial"/>
                <w:sz w:val="20"/>
                <w:lang w:eastAsia="en-GB"/>
              </w:rPr>
              <w:t>2021/22</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27748442" w14:textId="77777777" w:rsidR="0033517B" w:rsidRPr="002262E0" w:rsidRDefault="0033517B" w:rsidP="002A73BE">
            <w:pPr>
              <w:rPr>
                <w:rFonts w:cs="Arial"/>
                <w:sz w:val="20"/>
                <w:lang w:eastAsia="en-GB"/>
              </w:rPr>
            </w:pPr>
            <w:r w:rsidRPr="002262E0">
              <w:rPr>
                <w:rFonts w:cs="Arial"/>
                <w:sz w:val="20"/>
                <w:lang w:eastAsia="en-GB"/>
              </w:rPr>
              <w:t>Wealdstone NCIL – mobile CCTV camera</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3C02AC7F"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DA059C7" w14:textId="77777777" w:rsidR="0033517B" w:rsidRPr="002262E0" w:rsidRDefault="0033517B" w:rsidP="002A73BE">
            <w:pPr>
              <w:jc w:val="right"/>
              <w:rPr>
                <w:rFonts w:cs="Arial"/>
                <w:sz w:val="20"/>
                <w:lang w:eastAsia="en-GB"/>
              </w:rPr>
            </w:pPr>
            <w:r w:rsidRPr="002262E0">
              <w:rPr>
                <w:rFonts w:cs="Arial"/>
                <w:sz w:val="20"/>
                <w:lang w:eastAsia="en-GB"/>
              </w:rPr>
              <w:t>9,738</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1BA118BD"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0E3EBE4A"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1816D621"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3F218123" w14:textId="77777777" w:rsidR="0033517B" w:rsidRPr="002262E0" w:rsidRDefault="0033517B" w:rsidP="002A73BE">
            <w:pPr>
              <w:jc w:val="right"/>
              <w:rPr>
                <w:rFonts w:cs="Arial"/>
                <w:sz w:val="20"/>
                <w:lang w:eastAsia="en-GB"/>
              </w:rPr>
            </w:pPr>
            <w:r w:rsidRPr="002262E0">
              <w:rPr>
                <w:rFonts w:cs="Arial"/>
                <w:sz w:val="20"/>
                <w:lang w:eastAsia="en-GB"/>
              </w:rPr>
              <w:t>9,738</w:t>
            </w:r>
          </w:p>
        </w:tc>
      </w:tr>
      <w:tr w:rsidR="0033517B" w:rsidRPr="002262E0" w14:paraId="35D4BA3A" w14:textId="77777777" w:rsidTr="002A73BE">
        <w:trPr>
          <w:trHeight w:val="3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B2F4D03" w14:textId="77777777" w:rsidR="0033517B" w:rsidRPr="002262E0" w:rsidRDefault="0033517B" w:rsidP="002A73BE">
            <w:pPr>
              <w:jc w:val="center"/>
              <w:rPr>
                <w:rFonts w:cs="Arial"/>
                <w:sz w:val="20"/>
                <w:lang w:eastAsia="en-GB"/>
              </w:rPr>
            </w:pPr>
            <w:r w:rsidRPr="002262E0">
              <w:rPr>
                <w:rFonts w:cs="Arial"/>
                <w:sz w:val="20"/>
                <w:lang w:eastAsia="en-GB"/>
              </w:rPr>
              <w:t>2021/22</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50AA3538" w14:textId="77777777" w:rsidR="0033517B" w:rsidRPr="002262E0" w:rsidRDefault="0033517B" w:rsidP="002A73BE">
            <w:pPr>
              <w:rPr>
                <w:rFonts w:cs="Arial"/>
                <w:sz w:val="20"/>
                <w:lang w:eastAsia="en-GB"/>
              </w:rPr>
            </w:pPr>
            <w:r w:rsidRPr="002262E0">
              <w:rPr>
                <w:rFonts w:cs="Arial"/>
                <w:sz w:val="20"/>
                <w:lang w:eastAsia="en-GB"/>
              </w:rPr>
              <w:t>Headstone South - North Harrow Community Library lighting</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2CC889F9"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2461ED20" w14:textId="77777777" w:rsidR="0033517B" w:rsidRPr="002262E0" w:rsidRDefault="0033517B" w:rsidP="002A73BE">
            <w:pPr>
              <w:jc w:val="right"/>
              <w:rPr>
                <w:rFonts w:cs="Arial"/>
                <w:sz w:val="20"/>
                <w:lang w:eastAsia="en-GB"/>
              </w:rPr>
            </w:pPr>
            <w:r w:rsidRPr="002262E0">
              <w:rPr>
                <w:rFonts w:cs="Arial"/>
                <w:sz w:val="20"/>
                <w:lang w:eastAsia="en-GB"/>
              </w:rPr>
              <w:t>2,000</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5BD2AC08"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3C1E8CB8"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7B093233"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2AD7DA0C" w14:textId="77777777" w:rsidR="0033517B" w:rsidRPr="002262E0" w:rsidRDefault="0033517B" w:rsidP="002A73BE">
            <w:pPr>
              <w:jc w:val="right"/>
              <w:rPr>
                <w:rFonts w:cs="Arial"/>
                <w:sz w:val="20"/>
                <w:lang w:eastAsia="en-GB"/>
              </w:rPr>
            </w:pPr>
            <w:r w:rsidRPr="002262E0">
              <w:rPr>
                <w:rFonts w:cs="Arial"/>
                <w:sz w:val="20"/>
                <w:lang w:eastAsia="en-GB"/>
              </w:rPr>
              <w:t>2,000</w:t>
            </w:r>
          </w:p>
        </w:tc>
      </w:tr>
      <w:tr w:rsidR="0033517B" w:rsidRPr="002262E0" w14:paraId="1B6BAF7E" w14:textId="77777777" w:rsidTr="002A73BE">
        <w:trPr>
          <w:trHeight w:val="3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CF921EE" w14:textId="77777777" w:rsidR="0033517B" w:rsidRPr="002262E0" w:rsidRDefault="0033517B" w:rsidP="002A73BE">
            <w:pPr>
              <w:jc w:val="center"/>
              <w:rPr>
                <w:rFonts w:cs="Arial"/>
                <w:sz w:val="20"/>
                <w:lang w:eastAsia="en-GB"/>
              </w:rPr>
            </w:pPr>
            <w:r w:rsidRPr="002262E0">
              <w:rPr>
                <w:rFonts w:cs="Arial"/>
                <w:sz w:val="20"/>
                <w:lang w:eastAsia="en-GB"/>
              </w:rPr>
              <w:t>2021/22</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3C977FA7" w14:textId="77777777" w:rsidR="0033517B" w:rsidRPr="002262E0" w:rsidRDefault="0033517B" w:rsidP="002A73BE">
            <w:pPr>
              <w:rPr>
                <w:rFonts w:cs="Arial"/>
                <w:sz w:val="20"/>
                <w:lang w:eastAsia="en-GB"/>
              </w:rPr>
            </w:pPr>
            <w:r w:rsidRPr="002262E0">
              <w:rPr>
                <w:rFonts w:cs="Arial"/>
                <w:sz w:val="20"/>
                <w:lang w:eastAsia="en-GB"/>
              </w:rPr>
              <w:t>15 x Mobile CCTVs (11 wards)</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1B08FB7E"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2A4D1BD" w14:textId="77777777" w:rsidR="0033517B" w:rsidRPr="002262E0" w:rsidRDefault="0033517B" w:rsidP="002A73BE">
            <w:pPr>
              <w:jc w:val="right"/>
              <w:rPr>
                <w:rFonts w:cs="Arial"/>
                <w:sz w:val="20"/>
                <w:lang w:eastAsia="en-GB"/>
              </w:rPr>
            </w:pPr>
            <w:r w:rsidRPr="002262E0">
              <w:rPr>
                <w:rFonts w:cs="Arial"/>
                <w:sz w:val="20"/>
                <w:lang w:eastAsia="en-GB"/>
              </w:rPr>
              <w:t>105,030</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480F05A5"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03585772"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6F1F7558"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24E5B55E" w14:textId="77777777" w:rsidR="0033517B" w:rsidRPr="002262E0" w:rsidRDefault="0033517B" w:rsidP="002A73BE">
            <w:pPr>
              <w:jc w:val="right"/>
              <w:rPr>
                <w:rFonts w:cs="Arial"/>
                <w:sz w:val="20"/>
                <w:lang w:eastAsia="en-GB"/>
              </w:rPr>
            </w:pPr>
            <w:r w:rsidRPr="002262E0">
              <w:rPr>
                <w:rFonts w:cs="Arial"/>
                <w:sz w:val="20"/>
                <w:lang w:eastAsia="en-GB"/>
              </w:rPr>
              <w:t>105,030</w:t>
            </w:r>
          </w:p>
        </w:tc>
      </w:tr>
      <w:tr w:rsidR="0033517B" w:rsidRPr="002262E0" w14:paraId="69DDD612" w14:textId="77777777" w:rsidTr="002A73BE">
        <w:trPr>
          <w:trHeight w:val="6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D382E2C" w14:textId="77777777" w:rsidR="0033517B" w:rsidRPr="002262E0" w:rsidRDefault="0033517B" w:rsidP="002A73BE">
            <w:pPr>
              <w:jc w:val="center"/>
              <w:rPr>
                <w:rFonts w:cs="Arial"/>
                <w:sz w:val="20"/>
                <w:lang w:eastAsia="en-GB"/>
              </w:rPr>
            </w:pPr>
            <w:r w:rsidRPr="002262E0">
              <w:rPr>
                <w:rFonts w:cs="Arial"/>
                <w:sz w:val="20"/>
                <w:lang w:eastAsia="en-GB"/>
              </w:rPr>
              <w:t>2021/22</w:t>
            </w:r>
          </w:p>
        </w:tc>
        <w:tc>
          <w:tcPr>
            <w:tcW w:w="5408" w:type="dxa"/>
            <w:tcBorders>
              <w:top w:val="nil"/>
              <w:left w:val="nil"/>
              <w:bottom w:val="single" w:sz="4" w:space="0" w:color="auto"/>
              <w:right w:val="single" w:sz="4" w:space="0" w:color="auto"/>
            </w:tcBorders>
            <w:shd w:val="clear" w:color="auto" w:fill="FFFFFF" w:themeFill="background1"/>
            <w:vAlign w:val="center"/>
            <w:hideMark/>
          </w:tcPr>
          <w:p w14:paraId="3F5006B5" w14:textId="77777777" w:rsidR="0033517B" w:rsidRPr="002262E0" w:rsidRDefault="0033517B" w:rsidP="002A73BE">
            <w:pPr>
              <w:rPr>
                <w:rFonts w:cs="Arial"/>
                <w:sz w:val="20"/>
                <w:lang w:eastAsia="en-GB"/>
              </w:rPr>
            </w:pPr>
            <w:r w:rsidRPr="002262E0">
              <w:rPr>
                <w:rFonts w:cs="Arial"/>
                <w:sz w:val="20"/>
                <w:lang w:eastAsia="en-GB"/>
              </w:rPr>
              <w:t>Wealdstone - Infrastructure, and streetscene improvements in the in the vicinity of Wealdstone Town Centre</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7C1E147C"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2904C4DF" w14:textId="77777777" w:rsidR="0033517B" w:rsidRPr="002262E0" w:rsidRDefault="0033517B" w:rsidP="002A73BE">
            <w:pPr>
              <w:jc w:val="right"/>
              <w:rPr>
                <w:rFonts w:cs="Arial"/>
                <w:sz w:val="20"/>
                <w:lang w:eastAsia="en-GB"/>
              </w:rPr>
            </w:pPr>
            <w:r w:rsidRPr="002262E0">
              <w:rPr>
                <w:rFonts w:cs="Arial"/>
                <w:sz w:val="20"/>
                <w:lang w:eastAsia="en-GB"/>
              </w:rPr>
              <w:t>£25,310</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3701612D"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4AF9BDBC"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69F0AC96"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5119E7C8" w14:textId="77777777" w:rsidR="0033517B" w:rsidRPr="002262E0" w:rsidRDefault="0033517B" w:rsidP="002A73BE">
            <w:pPr>
              <w:jc w:val="right"/>
              <w:rPr>
                <w:rFonts w:cs="Arial"/>
                <w:sz w:val="20"/>
                <w:lang w:eastAsia="en-GB"/>
              </w:rPr>
            </w:pPr>
            <w:r w:rsidRPr="002262E0">
              <w:rPr>
                <w:rFonts w:cs="Arial"/>
                <w:sz w:val="20"/>
                <w:lang w:eastAsia="en-GB"/>
              </w:rPr>
              <w:t>25,310</w:t>
            </w:r>
          </w:p>
        </w:tc>
      </w:tr>
      <w:tr w:rsidR="0033517B" w:rsidRPr="002262E0" w14:paraId="70B44BD8" w14:textId="77777777" w:rsidTr="002A73BE">
        <w:trPr>
          <w:trHeight w:val="3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E6A5863" w14:textId="77777777" w:rsidR="0033517B" w:rsidRPr="002262E0" w:rsidRDefault="0033517B" w:rsidP="002A73BE">
            <w:pPr>
              <w:jc w:val="center"/>
              <w:rPr>
                <w:rFonts w:cs="Arial"/>
                <w:sz w:val="20"/>
                <w:lang w:eastAsia="en-GB"/>
              </w:rPr>
            </w:pPr>
            <w:r w:rsidRPr="002262E0">
              <w:rPr>
                <w:rFonts w:cs="Arial"/>
                <w:sz w:val="20"/>
                <w:lang w:eastAsia="en-GB"/>
              </w:rPr>
              <w:t>2021/22</w:t>
            </w:r>
          </w:p>
        </w:tc>
        <w:tc>
          <w:tcPr>
            <w:tcW w:w="5408" w:type="dxa"/>
            <w:tcBorders>
              <w:top w:val="nil"/>
              <w:left w:val="nil"/>
              <w:bottom w:val="single" w:sz="4" w:space="0" w:color="auto"/>
              <w:right w:val="single" w:sz="4" w:space="0" w:color="auto"/>
            </w:tcBorders>
            <w:shd w:val="clear" w:color="auto" w:fill="FFFFFF" w:themeFill="background1"/>
            <w:vAlign w:val="center"/>
            <w:hideMark/>
          </w:tcPr>
          <w:p w14:paraId="50CDC4BA" w14:textId="77777777" w:rsidR="0033517B" w:rsidRPr="002262E0" w:rsidRDefault="0033517B" w:rsidP="002A73BE">
            <w:pPr>
              <w:rPr>
                <w:rFonts w:cs="Arial"/>
                <w:sz w:val="20"/>
                <w:lang w:eastAsia="en-GB"/>
              </w:rPr>
            </w:pPr>
            <w:r w:rsidRPr="002262E0">
              <w:rPr>
                <w:rFonts w:cs="Arial"/>
                <w:sz w:val="20"/>
                <w:lang w:eastAsia="en-GB"/>
              </w:rPr>
              <w:t xml:space="preserve">Refurbishment of Chandos Recreation Ground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0100E9AB"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1B10ED49" w14:textId="77777777" w:rsidR="0033517B" w:rsidRPr="002262E0" w:rsidRDefault="0033517B" w:rsidP="002A73BE">
            <w:pPr>
              <w:jc w:val="right"/>
              <w:rPr>
                <w:rFonts w:cs="Arial"/>
                <w:sz w:val="20"/>
                <w:lang w:eastAsia="en-GB"/>
              </w:rPr>
            </w:pPr>
            <w:r w:rsidRPr="002262E0">
              <w:rPr>
                <w:rFonts w:cs="Arial"/>
                <w:sz w:val="20"/>
                <w:lang w:eastAsia="en-GB"/>
              </w:rPr>
              <w:t>18,707</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736BCAC8"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094F4805"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418A8C28"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7B2FB80A" w14:textId="77777777" w:rsidR="0033517B" w:rsidRPr="002262E0" w:rsidRDefault="0033517B" w:rsidP="002A73BE">
            <w:pPr>
              <w:jc w:val="right"/>
              <w:rPr>
                <w:rFonts w:cs="Arial"/>
                <w:sz w:val="20"/>
                <w:lang w:eastAsia="en-GB"/>
              </w:rPr>
            </w:pPr>
            <w:r w:rsidRPr="002262E0">
              <w:rPr>
                <w:rFonts w:cs="Arial"/>
                <w:sz w:val="20"/>
                <w:lang w:eastAsia="en-GB"/>
              </w:rPr>
              <w:t>18,707</w:t>
            </w:r>
          </w:p>
        </w:tc>
      </w:tr>
      <w:tr w:rsidR="0033517B" w:rsidRPr="002262E0" w14:paraId="7F5978B6" w14:textId="77777777" w:rsidTr="002A73BE">
        <w:trPr>
          <w:trHeight w:val="3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FCE932E" w14:textId="77777777" w:rsidR="0033517B" w:rsidRPr="002262E0" w:rsidRDefault="0033517B" w:rsidP="002A73BE">
            <w:pPr>
              <w:jc w:val="center"/>
              <w:rPr>
                <w:rFonts w:cs="Arial"/>
                <w:sz w:val="20"/>
                <w:lang w:eastAsia="en-GB"/>
              </w:rPr>
            </w:pPr>
            <w:r w:rsidRPr="002262E0">
              <w:rPr>
                <w:rFonts w:cs="Arial"/>
                <w:sz w:val="20"/>
                <w:lang w:eastAsia="en-GB"/>
              </w:rPr>
              <w:t>2021/22</w:t>
            </w:r>
          </w:p>
        </w:tc>
        <w:tc>
          <w:tcPr>
            <w:tcW w:w="5408" w:type="dxa"/>
            <w:tcBorders>
              <w:top w:val="nil"/>
              <w:left w:val="nil"/>
              <w:bottom w:val="single" w:sz="4" w:space="0" w:color="auto"/>
              <w:right w:val="single" w:sz="4" w:space="0" w:color="auto"/>
            </w:tcBorders>
            <w:shd w:val="clear" w:color="auto" w:fill="FFFFFF" w:themeFill="background1"/>
            <w:vAlign w:val="center"/>
            <w:hideMark/>
          </w:tcPr>
          <w:p w14:paraId="42F13356" w14:textId="77777777" w:rsidR="0033517B" w:rsidRPr="002262E0" w:rsidRDefault="0033517B" w:rsidP="002A73BE">
            <w:pPr>
              <w:rPr>
                <w:rFonts w:cs="Arial"/>
                <w:sz w:val="20"/>
                <w:lang w:eastAsia="en-GB"/>
              </w:rPr>
            </w:pPr>
            <w:r w:rsidRPr="002262E0">
              <w:rPr>
                <w:rFonts w:cs="Arial"/>
                <w:sz w:val="20"/>
                <w:lang w:eastAsia="en-GB"/>
              </w:rPr>
              <w:t xml:space="preserve">Bins in Church Fields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3A4B4C19"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75B33D76" w14:textId="77777777" w:rsidR="0033517B" w:rsidRPr="002262E0" w:rsidRDefault="0033517B" w:rsidP="002A73BE">
            <w:pPr>
              <w:jc w:val="right"/>
              <w:rPr>
                <w:rFonts w:cs="Arial"/>
                <w:sz w:val="20"/>
                <w:lang w:eastAsia="en-GB"/>
              </w:rPr>
            </w:pPr>
            <w:r w:rsidRPr="002262E0">
              <w:rPr>
                <w:rFonts w:cs="Arial"/>
                <w:sz w:val="20"/>
                <w:lang w:eastAsia="en-GB"/>
              </w:rPr>
              <w:t>1,872</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7849C4A9"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410A7DB5"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4A855B66"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79103F4D" w14:textId="77777777" w:rsidR="0033517B" w:rsidRPr="002262E0" w:rsidRDefault="0033517B" w:rsidP="002A73BE">
            <w:pPr>
              <w:jc w:val="right"/>
              <w:rPr>
                <w:rFonts w:cs="Arial"/>
                <w:sz w:val="20"/>
                <w:lang w:eastAsia="en-GB"/>
              </w:rPr>
            </w:pPr>
            <w:r w:rsidRPr="002262E0">
              <w:rPr>
                <w:rFonts w:cs="Arial"/>
                <w:sz w:val="20"/>
                <w:lang w:eastAsia="en-GB"/>
              </w:rPr>
              <w:t>1,872</w:t>
            </w:r>
          </w:p>
        </w:tc>
      </w:tr>
      <w:tr w:rsidR="0033517B" w:rsidRPr="002262E0" w14:paraId="09888FFE" w14:textId="77777777" w:rsidTr="002A73BE">
        <w:trPr>
          <w:trHeight w:val="3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678D52E" w14:textId="77777777" w:rsidR="0033517B" w:rsidRPr="002262E0" w:rsidRDefault="0033517B" w:rsidP="002A73BE">
            <w:pPr>
              <w:jc w:val="center"/>
              <w:rPr>
                <w:rFonts w:cs="Arial"/>
                <w:sz w:val="20"/>
                <w:lang w:eastAsia="en-GB"/>
              </w:rPr>
            </w:pPr>
            <w:r w:rsidRPr="002262E0">
              <w:rPr>
                <w:rFonts w:cs="Arial"/>
                <w:sz w:val="20"/>
                <w:lang w:eastAsia="en-GB"/>
              </w:rPr>
              <w:t>2021/22</w:t>
            </w:r>
          </w:p>
        </w:tc>
        <w:tc>
          <w:tcPr>
            <w:tcW w:w="5408" w:type="dxa"/>
            <w:tcBorders>
              <w:top w:val="nil"/>
              <w:left w:val="nil"/>
              <w:bottom w:val="single" w:sz="4" w:space="0" w:color="auto"/>
              <w:right w:val="single" w:sz="4" w:space="0" w:color="auto"/>
            </w:tcBorders>
            <w:shd w:val="clear" w:color="auto" w:fill="FFFFFF" w:themeFill="background1"/>
            <w:vAlign w:val="center"/>
            <w:hideMark/>
          </w:tcPr>
          <w:p w14:paraId="04971151" w14:textId="77777777" w:rsidR="0033517B" w:rsidRPr="002262E0" w:rsidRDefault="0033517B" w:rsidP="002A73BE">
            <w:pPr>
              <w:rPr>
                <w:rFonts w:cs="Arial"/>
                <w:sz w:val="20"/>
                <w:lang w:eastAsia="en-GB"/>
              </w:rPr>
            </w:pPr>
            <w:r w:rsidRPr="002262E0">
              <w:rPr>
                <w:rFonts w:cs="Arial"/>
                <w:sz w:val="20"/>
                <w:lang w:eastAsia="en-GB"/>
              </w:rPr>
              <w:t xml:space="preserve">Bins in The Grove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32800E78"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75B7D45A" w14:textId="77777777" w:rsidR="0033517B" w:rsidRPr="002262E0" w:rsidRDefault="0033517B" w:rsidP="002A73BE">
            <w:pPr>
              <w:jc w:val="right"/>
              <w:rPr>
                <w:rFonts w:cs="Arial"/>
                <w:sz w:val="20"/>
                <w:lang w:eastAsia="en-GB"/>
              </w:rPr>
            </w:pPr>
            <w:r w:rsidRPr="002262E0">
              <w:rPr>
                <w:rFonts w:cs="Arial"/>
                <w:sz w:val="20"/>
                <w:lang w:eastAsia="en-GB"/>
              </w:rPr>
              <w:t>3,120</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285A7AD5"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3226F3DA"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1B65CE0F"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2B9EE373" w14:textId="77777777" w:rsidR="0033517B" w:rsidRPr="002262E0" w:rsidRDefault="0033517B" w:rsidP="002A73BE">
            <w:pPr>
              <w:jc w:val="right"/>
              <w:rPr>
                <w:rFonts w:cs="Arial"/>
                <w:sz w:val="20"/>
                <w:lang w:eastAsia="en-GB"/>
              </w:rPr>
            </w:pPr>
            <w:r w:rsidRPr="002262E0">
              <w:rPr>
                <w:rFonts w:cs="Arial"/>
                <w:sz w:val="20"/>
                <w:lang w:eastAsia="en-GB"/>
              </w:rPr>
              <w:t>3,120</w:t>
            </w:r>
          </w:p>
        </w:tc>
      </w:tr>
      <w:tr w:rsidR="0033517B" w:rsidRPr="002262E0" w14:paraId="6635BF37" w14:textId="77777777" w:rsidTr="002A73BE">
        <w:trPr>
          <w:trHeight w:val="3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708B540" w14:textId="77777777" w:rsidR="0033517B" w:rsidRPr="002262E0" w:rsidRDefault="0033517B" w:rsidP="002A73BE">
            <w:pPr>
              <w:jc w:val="center"/>
              <w:rPr>
                <w:rFonts w:cs="Arial"/>
                <w:sz w:val="20"/>
                <w:lang w:eastAsia="en-GB"/>
              </w:rPr>
            </w:pPr>
            <w:r w:rsidRPr="002262E0">
              <w:rPr>
                <w:rFonts w:cs="Arial"/>
                <w:sz w:val="20"/>
                <w:lang w:eastAsia="en-GB"/>
              </w:rPr>
              <w:t>2021/22</w:t>
            </w:r>
          </w:p>
        </w:tc>
        <w:tc>
          <w:tcPr>
            <w:tcW w:w="5408" w:type="dxa"/>
            <w:tcBorders>
              <w:top w:val="nil"/>
              <w:left w:val="nil"/>
              <w:bottom w:val="single" w:sz="4" w:space="0" w:color="auto"/>
              <w:right w:val="single" w:sz="4" w:space="0" w:color="auto"/>
            </w:tcBorders>
            <w:shd w:val="clear" w:color="auto" w:fill="FFFFFF" w:themeFill="background1"/>
            <w:noWrap/>
            <w:vAlign w:val="center"/>
            <w:hideMark/>
          </w:tcPr>
          <w:p w14:paraId="041E3803" w14:textId="77777777" w:rsidR="0033517B" w:rsidRPr="002262E0" w:rsidRDefault="0033517B" w:rsidP="002A73BE">
            <w:pPr>
              <w:rPr>
                <w:rFonts w:cs="Arial"/>
                <w:sz w:val="20"/>
                <w:lang w:eastAsia="en-GB"/>
              </w:rPr>
            </w:pPr>
            <w:r w:rsidRPr="002262E0">
              <w:rPr>
                <w:rFonts w:cs="Arial"/>
                <w:sz w:val="20"/>
                <w:lang w:eastAsia="en-GB"/>
              </w:rPr>
              <w:t xml:space="preserve">Harrow Arts Centre – Green Belt footpath and biodiversity enhancements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165783D0"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668894C" w14:textId="77777777" w:rsidR="0033517B" w:rsidRPr="002262E0" w:rsidRDefault="0033517B" w:rsidP="002A73BE">
            <w:pPr>
              <w:jc w:val="right"/>
              <w:rPr>
                <w:rFonts w:cs="Arial"/>
                <w:sz w:val="20"/>
                <w:lang w:eastAsia="en-GB"/>
              </w:rPr>
            </w:pPr>
            <w:r w:rsidRPr="002262E0">
              <w:rPr>
                <w:rFonts w:cs="Arial"/>
                <w:sz w:val="20"/>
                <w:lang w:eastAsia="en-GB"/>
              </w:rPr>
              <w:t>87,000</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6367EE11"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2524EAA1"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1449DDE9"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70D2E8B1" w14:textId="77777777" w:rsidR="0033517B" w:rsidRPr="002262E0" w:rsidRDefault="0033517B" w:rsidP="002A73BE">
            <w:pPr>
              <w:jc w:val="right"/>
              <w:rPr>
                <w:rFonts w:cs="Arial"/>
                <w:sz w:val="20"/>
                <w:lang w:eastAsia="en-GB"/>
              </w:rPr>
            </w:pPr>
            <w:r w:rsidRPr="002262E0">
              <w:rPr>
                <w:rFonts w:cs="Arial"/>
                <w:sz w:val="20"/>
                <w:lang w:eastAsia="en-GB"/>
              </w:rPr>
              <w:t>87,000</w:t>
            </w:r>
          </w:p>
        </w:tc>
      </w:tr>
      <w:tr w:rsidR="0033517B" w:rsidRPr="002262E0" w14:paraId="640E8A68" w14:textId="77777777" w:rsidTr="002A73BE">
        <w:trPr>
          <w:trHeight w:val="9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6F596FE" w14:textId="77777777" w:rsidR="0033517B" w:rsidRPr="002262E0" w:rsidRDefault="0033517B" w:rsidP="002A73BE">
            <w:pPr>
              <w:jc w:val="center"/>
              <w:rPr>
                <w:rFonts w:cs="Arial"/>
                <w:sz w:val="20"/>
                <w:lang w:eastAsia="en-GB"/>
              </w:rPr>
            </w:pPr>
            <w:r w:rsidRPr="002262E0">
              <w:rPr>
                <w:rFonts w:cs="Arial"/>
                <w:sz w:val="20"/>
                <w:lang w:eastAsia="en-GB"/>
              </w:rPr>
              <w:t>2021/22</w:t>
            </w:r>
          </w:p>
        </w:tc>
        <w:tc>
          <w:tcPr>
            <w:tcW w:w="5408" w:type="dxa"/>
            <w:tcBorders>
              <w:top w:val="nil"/>
              <w:left w:val="nil"/>
              <w:bottom w:val="single" w:sz="4" w:space="0" w:color="auto"/>
              <w:right w:val="single" w:sz="4" w:space="0" w:color="auto"/>
            </w:tcBorders>
            <w:shd w:val="clear" w:color="auto" w:fill="FFFFFF" w:themeFill="background1"/>
            <w:vAlign w:val="center"/>
            <w:hideMark/>
          </w:tcPr>
          <w:p w14:paraId="06AE6B57" w14:textId="77777777" w:rsidR="0033517B" w:rsidRPr="002262E0" w:rsidRDefault="0033517B" w:rsidP="002A73BE">
            <w:pPr>
              <w:rPr>
                <w:rFonts w:cs="Arial"/>
                <w:sz w:val="20"/>
                <w:lang w:eastAsia="en-GB"/>
              </w:rPr>
            </w:pPr>
            <w:r w:rsidRPr="002262E0">
              <w:rPr>
                <w:rFonts w:cs="Arial"/>
                <w:sz w:val="20"/>
                <w:lang w:eastAsia="en-GB"/>
              </w:rPr>
              <w:t>Opportunity Area NCIL (Harrow Town Centre) - Harrow Town Centre Murals (4 murals) project</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6C588CA5"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1C187DF2" w14:textId="77777777" w:rsidR="0033517B" w:rsidRPr="002262E0" w:rsidRDefault="0033517B" w:rsidP="002A73BE">
            <w:pPr>
              <w:jc w:val="right"/>
              <w:rPr>
                <w:rFonts w:cs="Arial"/>
                <w:sz w:val="20"/>
                <w:lang w:eastAsia="en-GB"/>
              </w:rPr>
            </w:pPr>
            <w:r w:rsidRPr="002262E0">
              <w:rPr>
                <w:rFonts w:cs="Arial"/>
                <w:sz w:val="20"/>
                <w:lang w:eastAsia="en-GB"/>
              </w:rPr>
              <w:t>70,000</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72A464E2"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27BF263E"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6B2AE0FA"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6705C975" w14:textId="77777777" w:rsidR="0033517B" w:rsidRPr="002262E0" w:rsidRDefault="0033517B" w:rsidP="002A73BE">
            <w:pPr>
              <w:jc w:val="right"/>
              <w:rPr>
                <w:rFonts w:cs="Arial"/>
                <w:sz w:val="20"/>
                <w:lang w:eastAsia="en-GB"/>
              </w:rPr>
            </w:pPr>
            <w:r w:rsidRPr="002262E0">
              <w:rPr>
                <w:rFonts w:cs="Arial"/>
                <w:sz w:val="20"/>
                <w:lang w:eastAsia="en-GB"/>
              </w:rPr>
              <w:t>70,000</w:t>
            </w:r>
          </w:p>
        </w:tc>
      </w:tr>
      <w:tr w:rsidR="0033517B" w:rsidRPr="002262E0" w14:paraId="2F1CD937" w14:textId="77777777" w:rsidTr="002A73BE">
        <w:trPr>
          <w:trHeight w:val="3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CE0B01E" w14:textId="77777777" w:rsidR="0033517B" w:rsidRPr="002262E0" w:rsidRDefault="0033517B" w:rsidP="002A73BE">
            <w:pPr>
              <w:jc w:val="center"/>
              <w:rPr>
                <w:rFonts w:cs="Arial"/>
                <w:sz w:val="20"/>
                <w:lang w:eastAsia="en-GB"/>
              </w:rPr>
            </w:pPr>
            <w:r w:rsidRPr="002262E0">
              <w:rPr>
                <w:rFonts w:cs="Arial"/>
                <w:sz w:val="20"/>
                <w:lang w:eastAsia="en-GB"/>
              </w:rPr>
              <w:t>2021/22</w:t>
            </w:r>
          </w:p>
        </w:tc>
        <w:tc>
          <w:tcPr>
            <w:tcW w:w="5408" w:type="dxa"/>
            <w:tcBorders>
              <w:top w:val="nil"/>
              <w:left w:val="nil"/>
              <w:bottom w:val="single" w:sz="4" w:space="0" w:color="auto"/>
              <w:right w:val="single" w:sz="4" w:space="0" w:color="auto"/>
            </w:tcBorders>
            <w:shd w:val="clear" w:color="auto" w:fill="FFFFFF" w:themeFill="background1"/>
            <w:vAlign w:val="center"/>
            <w:hideMark/>
          </w:tcPr>
          <w:p w14:paraId="72D13DCC" w14:textId="77777777" w:rsidR="0033517B" w:rsidRPr="002262E0" w:rsidRDefault="0033517B" w:rsidP="002A73BE">
            <w:pPr>
              <w:rPr>
                <w:rFonts w:cs="Arial"/>
                <w:sz w:val="20"/>
                <w:lang w:eastAsia="en-GB"/>
              </w:rPr>
            </w:pPr>
            <w:r w:rsidRPr="002262E0">
              <w:rPr>
                <w:rFonts w:cs="Arial"/>
                <w:sz w:val="20"/>
                <w:lang w:eastAsia="en-GB"/>
              </w:rPr>
              <w:t>Kenton Lane Bridge (1 mural) project</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603C9F36"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10B4CE3C" w14:textId="77777777" w:rsidR="0033517B" w:rsidRPr="002262E0" w:rsidRDefault="0033517B" w:rsidP="002A73BE">
            <w:pPr>
              <w:jc w:val="right"/>
              <w:rPr>
                <w:rFonts w:cs="Arial"/>
                <w:sz w:val="20"/>
                <w:lang w:eastAsia="en-GB"/>
              </w:rPr>
            </w:pPr>
            <w:r w:rsidRPr="002262E0">
              <w:rPr>
                <w:rFonts w:cs="Arial"/>
                <w:sz w:val="20"/>
                <w:lang w:eastAsia="en-GB"/>
              </w:rPr>
              <w:t>20,000</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035891B1"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77D9E81F"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7DAAEFA2"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21B81C27" w14:textId="77777777" w:rsidR="0033517B" w:rsidRPr="002262E0" w:rsidRDefault="0033517B" w:rsidP="002A73BE">
            <w:pPr>
              <w:jc w:val="right"/>
              <w:rPr>
                <w:rFonts w:cs="Arial"/>
                <w:sz w:val="20"/>
                <w:lang w:eastAsia="en-GB"/>
              </w:rPr>
            </w:pPr>
            <w:r w:rsidRPr="002262E0">
              <w:rPr>
                <w:rFonts w:cs="Arial"/>
                <w:sz w:val="20"/>
                <w:lang w:eastAsia="en-GB"/>
              </w:rPr>
              <w:t>20,000</w:t>
            </w:r>
          </w:p>
        </w:tc>
      </w:tr>
      <w:tr w:rsidR="0033517B" w:rsidRPr="002262E0" w14:paraId="105B8402" w14:textId="77777777" w:rsidTr="002A73BE">
        <w:trPr>
          <w:trHeight w:val="3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C5CCAE" w14:textId="77777777" w:rsidR="0033517B" w:rsidRPr="002262E0" w:rsidRDefault="0033517B" w:rsidP="002A73BE">
            <w:pPr>
              <w:jc w:val="center"/>
              <w:rPr>
                <w:rFonts w:cs="Arial"/>
                <w:sz w:val="20"/>
                <w:lang w:eastAsia="en-GB"/>
              </w:rPr>
            </w:pPr>
            <w:r w:rsidRPr="002262E0">
              <w:rPr>
                <w:rFonts w:cs="Arial"/>
                <w:sz w:val="20"/>
                <w:lang w:eastAsia="en-GB"/>
              </w:rPr>
              <w:t>2021/22</w:t>
            </w:r>
          </w:p>
        </w:tc>
        <w:tc>
          <w:tcPr>
            <w:tcW w:w="5408" w:type="dxa"/>
            <w:tcBorders>
              <w:top w:val="nil"/>
              <w:left w:val="nil"/>
              <w:bottom w:val="single" w:sz="4" w:space="0" w:color="auto"/>
              <w:right w:val="single" w:sz="4" w:space="0" w:color="auto"/>
            </w:tcBorders>
            <w:shd w:val="clear" w:color="auto" w:fill="FFFFFF" w:themeFill="background1"/>
            <w:vAlign w:val="center"/>
            <w:hideMark/>
          </w:tcPr>
          <w:p w14:paraId="3F49DD71" w14:textId="77777777" w:rsidR="0033517B" w:rsidRPr="002262E0" w:rsidRDefault="0033517B" w:rsidP="002A73BE">
            <w:pPr>
              <w:rPr>
                <w:rFonts w:cs="Arial"/>
                <w:sz w:val="20"/>
                <w:lang w:eastAsia="en-GB"/>
              </w:rPr>
            </w:pPr>
            <w:r w:rsidRPr="002262E0">
              <w:rPr>
                <w:rFonts w:cs="Arial"/>
                <w:sz w:val="20"/>
                <w:lang w:eastAsia="en-GB"/>
              </w:rPr>
              <w:t xml:space="preserve">Pinner Hill Estate – restoration of Children’s Play Area project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0FC114AB"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7D42902D" w14:textId="77777777" w:rsidR="0033517B" w:rsidRPr="002262E0" w:rsidRDefault="0033517B" w:rsidP="002A73BE">
            <w:pPr>
              <w:jc w:val="right"/>
              <w:rPr>
                <w:rFonts w:cs="Arial"/>
                <w:sz w:val="20"/>
                <w:lang w:eastAsia="en-GB"/>
              </w:rPr>
            </w:pPr>
            <w:r w:rsidRPr="002262E0">
              <w:rPr>
                <w:rFonts w:cs="Arial"/>
                <w:sz w:val="20"/>
                <w:lang w:eastAsia="en-GB"/>
              </w:rPr>
              <w:t>25,000</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7DA2070E"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4BF595E7"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27849576"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2466A1D7" w14:textId="77777777" w:rsidR="0033517B" w:rsidRPr="002262E0" w:rsidRDefault="0033517B" w:rsidP="002A73BE">
            <w:pPr>
              <w:jc w:val="right"/>
              <w:rPr>
                <w:rFonts w:cs="Arial"/>
                <w:sz w:val="20"/>
                <w:lang w:eastAsia="en-GB"/>
              </w:rPr>
            </w:pPr>
            <w:r w:rsidRPr="002262E0">
              <w:rPr>
                <w:rFonts w:cs="Arial"/>
                <w:sz w:val="20"/>
                <w:lang w:eastAsia="en-GB"/>
              </w:rPr>
              <w:t>25,000</w:t>
            </w:r>
          </w:p>
        </w:tc>
      </w:tr>
      <w:tr w:rsidR="0033517B" w:rsidRPr="002262E0" w14:paraId="56DF0ACC" w14:textId="77777777" w:rsidTr="002A73BE">
        <w:trPr>
          <w:trHeight w:val="3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1E3FE78" w14:textId="77777777" w:rsidR="0033517B" w:rsidRPr="002262E0" w:rsidRDefault="0033517B" w:rsidP="002A73BE">
            <w:pPr>
              <w:jc w:val="center"/>
              <w:rPr>
                <w:rFonts w:cs="Arial"/>
                <w:sz w:val="20"/>
                <w:lang w:eastAsia="en-GB"/>
              </w:rPr>
            </w:pPr>
            <w:r w:rsidRPr="002262E0">
              <w:rPr>
                <w:rFonts w:cs="Arial"/>
                <w:sz w:val="20"/>
                <w:lang w:eastAsia="en-GB"/>
              </w:rPr>
              <w:t>2021/22</w:t>
            </w:r>
          </w:p>
        </w:tc>
        <w:tc>
          <w:tcPr>
            <w:tcW w:w="5408" w:type="dxa"/>
            <w:tcBorders>
              <w:top w:val="nil"/>
              <w:left w:val="nil"/>
              <w:bottom w:val="single" w:sz="4" w:space="0" w:color="auto"/>
              <w:right w:val="single" w:sz="4" w:space="0" w:color="auto"/>
            </w:tcBorders>
            <w:shd w:val="clear" w:color="auto" w:fill="FFFFFF" w:themeFill="background1"/>
            <w:vAlign w:val="center"/>
            <w:hideMark/>
          </w:tcPr>
          <w:p w14:paraId="42A60ED8" w14:textId="77777777" w:rsidR="0033517B" w:rsidRPr="002262E0" w:rsidRDefault="0033517B" w:rsidP="002A73BE">
            <w:pPr>
              <w:rPr>
                <w:rFonts w:cs="Arial"/>
                <w:sz w:val="20"/>
                <w:lang w:eastAsia="en-GB"/>
              </w:rPr>
            </w:pPr>
            <w:r w:rsidRPr="002262E0">
              <w:rPr>
                <w:rFonts w:cs="Arial"/>
                <w:sz w:val="20"/>
                <w:lang w:eastAsia="en-GB"/>
              </w:rPr>
              <w:t>Roxbourne Park – Yeading Brook Path (seats / handrails) project</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779458B8"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111C8C66" w14:textId="77777777" w:rsidR="0033517B" w:rsidRPr="002262E0" w:rsidRDefault="0033517B" w:rsidP="002A73BE">
            <w:pPr>
              <w:jc w:val="right"/>
              <w:rPr>
                <w:rFonts w:cs="Arial"/>
                <w:sz w:val="20"/>
                <w:lang w:eastAsia="en-GB"/>
              </w:rPr>
            </w:pPr>
            <w:r w:rsidRPr="002262E0">
              <w:rPr>
                <w:rFonts w:cs="Arial"/>
                <w:sz w:val="20"/>
                <w:lang w:eastAsia="en-GB"/>
              </w:rPr>
              <w:t>3,580</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0F42DAC8"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12CFE734"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4CE56060"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16AF1C58" w14:textId="77777777" w:rsidR="0033517B" w:rsidRPr="002262E0" w:rsidRDefault="0033517B" w:rsidP="002A73BE">
            <w:pPr>
              <w:jc w:val="right"/>
              <w:rPr>
                <w:rFonts w:cs="Arial"/>
                <w:sz w:val="20"/>
                <w:lang w:eastAsia="en-GB"/>
              </w:rPr>
            </w:pPr>
            <w:r w:rsidRPr="002262E0">
              <w:rPr>
                <w:rFonts w:cs="Arial"/>
                <w:sz w:val="20"/>
                <w:lang w:eastAsia="en-GB"/>
              </w:rPr>
              <w:t>3,580</w:t>
            </w:r>
          </w:p>
        </w:tc>
      </w:tr>
      <w:tr w:rsidR="0033517B" w:rsidRPr="002262E0" w14:paraId="7FD46207" w14:textId="77777777" w:rsidTr="002A73BE">
        <w:trPr>
          <w:trHeight w:val="300"/>
        </w:trPr>
        <w:tc>
          <w:tcPr>
            <w:tcW w:w="12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5AE221B" w14:textId="77777777" w:rsidR="0033517B" w:rsidRPr="002262E0" w:rsidRDefault="0033517B" w:rsidP="002A73BE">
            <w:pPr>
              <w:jc w:val="center"/>
              <w:rPr>
                <w:rFonts w:cs="Arial"/>
                <w:sz w:val="20"/>
                <w:lang w:eastAsia="en-GB"/>
              </w:rPr>
            </w:pPr>
            <w:r w:rsidRPr="002262E0">
              <w:rPr>
                <w:rFonts w:cs="Arial"/>
                <w:sz w:val="20"/>
                <w:lang w:eastAsia="en-GB"/>
              </w:rPr>
              <w:t>2021/22</w:t>
            </w:r>
          </w:p>
        </w:tc>
        <w:tc>
          <w:tcPr>
            <w:tcW w:w="5408" w:type="dxa"/>
            <w:tcBorders>
              <w:top w:val="nil"/>
              <w:left w:val="nil"/>
              <w:bottom w:val="single" w:sz="4" w:space="0" w:color="auto"/>
              <w:right w:val="single" w:sz="4" w:space="0" w:color="auto"/>
            </w:tcBorders>
            <w:shd w:val="clear" w:color="auto" w:fill="FFFFFF" w:themeFill="background1"/>
            <w:vAlign w:val="center"/>
            <w:hideMark/>
          </w:tcPr>
          <w:p w14:paraId="445F3229" w14:textId="77777777" w:rsidR="0033517B" w:rsidRPr="002262E0" w:rsidRDefault="0033517B" w:rsidP="002A73BE">
            <w:pPr>
              <w:rPr>
                <w:rFonts w:cs="Arial"/>
                <w:sz w:val="20"/>
                <w:lang w:eastAsia="en-GB"/>
              </w:rPr>
            </w:pPr>
            <w:r w:rsidRPr="002262E0">
              <w:rPr>
                <w:rFonts w:cs="Arial"/>
                <w:sz w:val="20"/>
                <w:lang w:eastAsia="en-GB"/>
              </w:rPr>
              <w:t>Harrow on the Hill - Churchfields bins</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13142C42"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7F29FE5" w14:textId="77777777" w:rsidR="0033517B" w:rsidRPr="002262E0" w:rsidRDefault="0033517B" w:rsidP="002A73BE">
            <w:pPr>
              <w:jc w:val="right"/>
              <w:rPr>
                <w:rFonts w:cs="Arial"/>
                <w:sz w:val="20"/>
                <w:lang w:eastAsia="en-GB"/>
              </w:rPr>
            </w:pPr>
            <w:r w:rsidRPr="002262E0">
              <w:rPr>
                <w:rFonts w:cs="Arial"/>
                <w:sz w:val="20"/>
                <w:lang w:eastAsia="en-GB"/>
              </w:rPr>
              <w:t>1,248</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01ECC559"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735BA0CD"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1D34BE88"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0B7E1ABC" w14:textId="77777777" w:rsidR="0033517B" w:rsidRPr="002262E0" w:rsidRDefault="0033517B" w:rsidP="002A73BE">
            <w:pPr>
              <w:jc w:val="right"/>
              <w:rPr>
                <w:rFonts w:cs="Arial"/>
                <w:sz w:val="20"/>
                <w:lang w:eastAsia="en-GB"/>
              </w:rPr>
            </w:pPr>
            <w:r w:rsidRPr="002262E0">
              <w:rPr>
                <w:rFonts w:cs="Arial"/>
                <w:sz w:val="20"/>
                <w:lang w:eastAsia="en-GB"/>
              </w:rPr>
              <w:t>1,248</w:t>
            </w:r>
          </w:p>
        </w:tc>
      </w:tr>
      <w:tr w:rsidR="0033517B" w:rsidRPr="002262E0" w14:paraId="47B9D271" w14:textId="77777777" w:rsidTr="002A73BE">
        <w:trPr>
          <w:trHeight w:val="557"/>
        </w:trPr>
        <w:tc>
          <w:tcPr>
            <w:tcW w:w="125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C1AE8A" w14:textId="77777777" w:rsidR="0033517B" w:rsidRPr="002262E0" w:rsidRDefault="0033517B" w:rsidP="002A73BE">
            <w:pPr>
              <w:jc w:val="center"/>
              <w:rPr>
                <w:rFonts w:cs="Arial"/>
                <w:sz w:val="20"/>
                <w:lang w:eastAsia="en-GB"/>
              </w:rPr>
            </w:pPr>
            <w:r w:rsidRPr="002262E0">
              <w:rPr>
                <w:rFonts w:cs="Arial"/>
                <w:sz w:val="20"/>
                <w:lang w:eastAsia="en-GB"/>
              </w:rPr>
              <w:lastRenderedPageBreak/>
              <w:t>2021/22</w:t>
            </w:r>
          </w:p>
        </w:tc>
        <w:tc>
          <w:tcPr>
            <w:tcW w:w="5408" w:type="dxa"/>
            <w:tcBorders>
              <w:top w:val="nil"/>
              <w:left w:val="nil"/>
              <w:bottom w:val="single" w:sz="4" w:space="0" w:color="auto"/>
              <w:right w:val="single" w:sz="4" w:space="0" w:color="auto"/>
            </w:tcBorders>
            <w:shd w:val="clear" w:color="auto" w:fill="FFFFFF" w:themeFill="background1"/>
            <w:vAlign w:val="center"/>
            <w:hideMark/>
          </w:tcPr>
          <w:p w14:paraId="4E51B1AF" w14:textId="77777777" w:rsidR="0033517B" w:rsidRPr="002262E0" w:rsidRDefault="0033517B" w:rsidP="002A73BE">
            <w:pPr>
              <w:rPr>
                <w:rFonts w:cs="Arial"/>
                <w:sz w:val="20"/>
                <w:lang w:eastAsia="en-GB"/>
              </w:rPr>
            </w:pPr>
            <w:r w:rsidRPr="002262E0">
              <w:rPr>
                <w:rFonts w:cs="Arial"/>
                <w:sz w:val="20"/>
                <w:lang w:eastAsia="en-GB"/>
              </w:rPr>
              <w:t>Wealdstone – murals, features, festive lighting and artistic bridge improvements</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2F1A6057"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21EEB450" w14:textId="77777777" w:rsidR="0033517B" w:rsidRPr="002262E0" w:rsidRDefault="0033517B" w:rsidP="002A73BE">
            <w:pPr>
              <w:jc w:val="right"/>
              <w:rPr>
                <w:rFonts w:cs="Arial"/>
                <w:sz w:val="20"/>
                <w:lang w:eastAsia="en-GB"/>
              </w:rPr>
            </w:pPr>
            <w:r w:rsidRPr="002262E0">
              <w:rPr>
                <w:rFonts w:cs="Arial"/>
                <w:sz w:val="20"/>
                <w:lang w:eastAsia="en-GB"/>
              </w:rPr>
              <w:t>103,000</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14:paraId="5D881835"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49159D78" w14:textId="77777777" w:rsidR="0033517B" w:rsidRPr="002262E0" w:rsidRDefault="0033517B" w:rsidP="002A73BE">
            <w:pPr>
              <w:jc w:val="right"/>
              <w:rPr>
                <w:rFonts w:cs="Arial"/>
                <w:sz w:val="20"/>
                <w:lang w:eastAsia="en-GB"/>
              </w:rPr>
            </w:pPr>
            <w:r w:rsidRPr="002262E0">
              <w:rPr>
                <w:rFonts w:cs="Arial"/>
                <w:sz w:val="20"/>
                <w:lang w:eastAsia="en-GB"/>
              </w:rPr>
              <w:t>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5D46D3DE" w14:textId="77777777" w:rsidR="0033517B" w:rsidRPr="002262E0" w:rsidRDefault="0033517B" w:rsidP="002A73BE">
            <w:pPr>
              <w:jc w:val="right"/>
              <w:rPr>
                <w:rFonts w:cs="Arial"/>
                <w:sz w:val="20"/>
                <w:lang w:eastAsia="en-GB"/>
              </w:rPr>
            </w:pPr>
            <w:r w:rsidRPr="002262E0">
              <w:rPr>
                <w:rFonts w:cs="Arial"/>
                <w:sz w:val="20"/>
                <w:lang w:eastAsia="en-GB"/>
              </w:rPr>
              <w:t>18,725</w:t>
            </w:r>
          </w:p>
        </w:tc>
        <w:tc>
          <w:tcPr>
            <w:tcW w:w="1406" w:type="dxa"/>
            <w:tcBorders>
              <w:top w:val="nil"/>
              <w:left w:val="nil"/>
              <w:bottom w:val="single" w:sz="4" w:space="0" w:color="auto"/>
              <w:right w:val="single" w:sz="4" w:space="0" w:color="auto"/>
            </w:tcBorders>
            <w:shd w:val="clear" w:color="auto" w:fill="FFFFFF" w:themeFill="background1"/>
            <w:noWrap/>
            <w:vAlign w:val="center"/>
            <w:hideMark/>
          </w:tcPr>
          <w:p w14:paraId="013ACC3C" w14:textId="77777777" w:rsidR="0033517B" w:rsidRPr="002262E0" w:rsidRDefault="0033517B" w:rsidP="002A73BE">
            <w:pPr>
              <w:jc w:val="right"/>
              <w:rPr>
                <w:rFonts w:cs="Arial"/>
                <w:sz w:val="20"/>
                <w:lang w:eastAsia="en-GB"/>
              </w:rPr>
            </w:pPr>
            <w:r w:rsidRPr="002262E0">
              <w:rPr>
                <w:rFonts w:cs="Arial"/>
                <w:sz w:val="20"/>
                <w:lang w:eastAsia="en-GB"/>
              </w:rPr>
              <w:t>84,275</w:t>
            </w:r>
          </w:p>
        </w:tc>
      </w:tr>
    </w:tbl>
    <w:p w14:paraId="22D258B5" w14:textId="0F68F05E" w:rsidR="003A427A" w:rsidRDefault="003A427A" w:rsidP="003A427A">
      <w:pPr>
        <w:rPr>
          <w:rFonts w:cs="Arial"/>
          <w:sz w:val="20"/>
        </w:rPr>
      </w:pPr>
    </w:p>
    <w:p w14:paraId="7AA1CED3" w14:textId="77777777" w:rsidR="003A427A" w:rsidRDefault="003A427A" w:rsidP="007D1ACF">
      <w:pPr>
        <w:keepNext/>
        <w:rPr>
          <w:rFonts w:cs="Arial"/>
          <w:b/>
          <w:bCs/>
          <w:szCs w:val="24"/>
        </w:rPr>
      </w:pPr>
      <w:r w:rsidRPr="008233E6">
        <w:rPr>
          <w:rFonts w:cs="Arial"/>
          <w:b/>
          <w:bCs/>
          <w:szCs w:val="24"/>
        </w:rPr>
        <w:t>APPENDIX C – COMMITTED BCIL ALLOCATIONS FOR FY23/24 (excluding any carry forwards from previous financial years)</w:t>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4467"/>
        <w:gridCol w:w="1417"/>
        <w:gridCol w:w="1985"/>
        <w:gridCol w:w="2515"/>
        <w:gridCol w:w="2050"/>
      </w:tblGrid>
      <w:tr w:rsidR="003A427A" w:rsidRPr="00B62E94" w14:paraId="0B2A0072" w14:textId="77777777" w:rsidTr="007344F4">
        <w:trPr>
          <w:trHeight w:val="413"/>
        </w:trPr>
        <w:tc>
          <w:tcPr>
            <w:tcW w:w="1624" w:type="dxa"/>
            <w:shd w:val="clear" w:color="auto" w:fill="F2F2F2" w:themeFill="background1" w:themeFillShade="F2"/>
            <w:noWrap/>
            <w:vAlign w:val="center"/>
            <w:hideMark/>
          </w:tcPr>
          <w:p w14:paraId="2C8861E6" w14:textId="77777777" w:rsidR="003A427A" w:rsidRPr="00B62E94" w:rsidRDefault="003A427A" w:rsidP="007344F4">
            <w:pPr>
              <w:jc w:val="center"/>
              <w:rPr>
                <w:rFonts w:cs="Arial"/>
                <w:b/>
                <w:bCs/>
                <w:sz w:val="20"/>
              </w:rPr>
            </w:pPr>
            <w:r w:rsidRPr="00B62E94">
              <w:rPr>
                <w:rFonts w:cs="Arial"/>
                <w:b/>
                <w:bCs/>
                <w:sz w:val="20"/>
              </w:rPr>
              <w:t>Financial year</w:t>
            </w:r>
          </w:p>
        </w:tc>
        <w:tc>
          <w:tcPr>
            <w:tcW w:w="4467" w:type="dxa"/>
            <w:shd w:val="clear" w:color="auto" w:fill="F2F2F2" w:themeFill="background1" w:themeFillShade="F2"/>
            <w:noWrap/>
            <w:vAlign w:val="center"/>
            <w:hideMark/>
          </w:tcPr>
          <w:p w14:paraId="0720881B" w14:textId="77777777" w:rsidR="003A427A" w:rsidRPr="00B62E94" w:rsidRDefault="003A427A" w:rsidP="007344F4">
            <w:pPr>
              <w:jc w:val="center"/>
              <w:rPr>
                <w:rFonts w:cs="Arial"/>
                <w:b/>
                <w:bCs/>
                <w:sz w:val="20"/>
              </w:rPr>
            </w:pPr>
            <w:r w:rsidRPr="00B62E94">
              <w:rPr>
                <w:rFonts w:cs="Arial"/>
                <w:b/>
                <w:bCs/>
                <w:sz w:val="20"/>
              </w:rPr>
              <w:t>Description</w:t>
            </w:r>
          </w:p>
        </w:tc>
        <w:tc>
          <w:tcPr>
            <w:tcW w:w="1417" w:type="dxa"/>
            <w:shd w:val="clear" w:color="auto" w:fill="F2F2F2" w:themeFill="background1" w:themeFillShade="F2"/>
            <w:noWrap/>
            <w:vAlign w:val="center"/>
            <w:hideMark/>
          </w:tcPr>
          <w:p w14:paraId="0612153B" w14:textId="127BAE83" w:rsidR="003A427A" w:rsidRPr="00B62E94" w:rsidRDefault="003A427A" w:rsidP="007344F4">
            <w:pPr>
              <w:jc w:val="center"/>
              <w:rPr>
                <w:rFonts w:cs="Arial"/>
                <w:b/>
                <w:bCs/>
                <w:sz w:val="20"/>
              </w:rPr>
            </w:pPr>
            <w:r w:rsidRPr="00B62E94">
              <w:rPr>
                <w:rFonts w:cs="Arial"/>
                <w:b/>
                <w:bCs/>
                <w:sz w:val="20"/>
              </w:rPr>
              <w:t>BCIL</w:t>
            </w:r>
          </w:p>
        </w:tc>
        <w:tc>
          <w:tcPr>
            <w:tcW w:w="1985" w:type="dxa"/>
            <w:shd w:val="clear" w:color="auto" w:fill="F2F2F2" w:themeFill="background1" w:themeFillShade="F2"/>
            <w:vAlign w:val="center"/>
            <w:hideMark/>
          </w:tcPr>
          <w:p w14:paraId="7EC52C5B" w14:textId="77777777" w:rsidR="003A427A" w:rsidRPr="00B62E94" w:rsidRDefault="003A427A" w:rsidP="007344F4">
            <w:pPr>
              <w:jc w:val="center"/>
              <w:rPr>
                <w:rFonts w:cs="Arial"/>
                <w:b/>
                <w:bCs/>
                <w:sz w:val="20"/>
              </w:rPr>
            </w:pPr>
            <w:r w:rsidRPr="00B62E94">
              <w:rPr>
                <w:rFonts w:cs="Arial"/>
                <w:b/>
                <w:bCs/>
                <w:sz w:val="20"/>
              </w:rPr>
              <w:t>Actual or Committed</w:t>
            </w:r>
          </w:p>
        </w:tc>
        <w:tc>
          <w:tcPr>
            <w:tcW w:w="2515" w:type="dxa"/>
            <w:shd w:val="clear" w:color="auto" w:fill="F2F2F2" w:themeFill="background1" w:themeFillShade="F2"/>
            <w:vAlign w:val="center"/>
            <w:hideMark/>
          </w:tcPr>
          <w:p w14:paraId="6D439A8A" w14:textId="77777777" w:rsidR="003A427A" w:rsidRPr="00B62E94" w:rsidRDefault="003A427A" w:rsidP="007344F4">
            <w:pPr>
              <w:jc w:val="center"/>
              <w:rPr>
                <w:rFonts w:cs="Arial"/>
                <w:b/>
                <w:bCs/>
                <w:sz w:val="20"/>
              </w:rPr>
            </w:pPr>
            <w:r w:rsidRPr="00B62E94">
              <w:rPr>
                <w:rFonts w:cs="Arial"/>
                <w:b/>
                <w:bCs/>
                <w:sz w:val="20"/>
              </w:rPr>
              <w:t>Ward</w:t>
            </w:r>
          </w:p>
        </w:tc>
        <w:tc>
          <w:tcPr>
            <w:tcW w:w="2050" w:type="dxa"/>
            <w:shd w:val="clear" w:color="auto" w:fill="F2F2F2" w:themeFill="background1" w:themeFillShade="F2"/>
            <w:vAlign w:val="center"/>
            <w:hideMark/>
          </w:tcPr>
          <w:p w14:paraId="558C8729" w14:textId="77777777" w:rsidR="003A427A" w:rsidRPr="00B62E94" w:rsidRDefault="003A427A" w:rsidP="007344F4">
            <w:pPr>
              <w:jc w:val="center"/>
              <w:rPr>
                <w:rFonts w:cs="Arial"/>
                <w:b/>
                <w:bCs/>
                <w:sz w:val="20"/>
              </w:rPr>
            </w:pPr>
            <w:r w:rsidRPr="00B62E94">
              <w:rPr>
                <w:rFonts w:cs="Arial"/>
                <w:b/>
                <w:bCs/>
                <w:sz w:val="20"/>
              </w:rPr>
              <w:t>Outstanding commitment</w:t>
            </w:r>
          </w:p>
        </w:tc>
      </w:tr>
      <w:tr w:rsidR="003A427A" w:rsidRPr="00B62E94" w14:paraId="5BCC3B5D" w14:textId="77777777" w:rsidTr="007344F4">
        <w:trPr>
          <w:trHeight w:val="206"/>
        </w:trPr>
        <w:tc>
          <w:tcPr>
            <w:tcW w:w="1624" w:type="dxa"/>
            <w:noWrap/>
            <w:vAlign w:val="center"/>
            <w:hideMark/>
          </w:tcPr>
          <w:p w14:paraId="655FD301" w14:textId="77777777" w:rsidR="003A427A" w:rsidRPr="00B62E94" w:rsidRDefault="003A427A" w:rsidP="007344F4">
            <w:pPr>
              <w:jc w:val="center"/>
              <w:rPr>
                <w:rFonts w:cs="Arial"/>
                <w:sz w:val="20"/>
              </w:rPr>
            </w:pPr>
            <w:r w:rsidRPr="00B62E94">
              <w:rPr>
                <w:rFonts w:cs="Arial"/>
                <w:sz w:val="20"/>
              </w:rPr>
              <w:t>2023/24</w:t>
            </w:r>
          </w:p>
        </w:tc>
        <w:tc>
          <w:tcPr>
            <w:tcW w:w="4467" w:type="dxa"/>
            <w:noWrap/>
            <w:vAlign w:val="center"/>
            <w:hideMark/>
          </w:tcPr>
          <w:p w14:paraId="282EB30B" w14:textId="77777777" w:rsidR="003A427A" w:rsidRPr="00B62E94" w:rsidRDefault="003A427A" w:rsidP="00CE656A">
            <w:pPr>
              <w:rPr>
                <w:rFonts w:cs="Arial"/>
                <w:sz w:val="20"/>
              </w:rPr>
            </w:pPr>
            <w:r w:rsidRPr="00B62E94">
              <w:rPr>
                <w:rFonts w:cs="Arial"/>
                <w:sz w:val="20"/>
              </w:rPr>
              <w:t xml:space="preserve">Wealdstone Major Transport Infrastructure projects -Liveable Neighbourhood </w:t>
            </w:r>
          </w:p>
        </w:tc>
        <w:tc>
          <w:tcPr>
            <w:tcW w:w="1417" w:type="dxa"/>
            <w:noWrap/>
            <w:vAlign w:val="center"/>
            <w:hideMark/>
          </w:tcPr>
          <w:p w14:paraId="22977322" w14:textId="77777777" w:rsidR="003A427A" w:rsidRPr="00B62E94" w:rsidRDefault="003A427A" w:rsidP="007344F4">
            <w:pPr>
              <w:jc w:val="right"/>
              <w:rPr>
                <w:rFonts w:cs="Arial"/>
                <w:sz w:val="20"/>
              </w:rPr>
            </w:pPr>
            <w:r w:rsidRPr="00B62E94">
              <w:rPr>
                <w:rFonts w:cs="Arial"/>
                <w:sz w:val="20"/>
              </w:rPr>
              <w:t>0</w:t>
            </w:r>
          </w:p>
        </w:tc>
        <w:tc>
          <w:tcPr>
            <w:tcW w:w="1985" w:type="dxa"/>
            <w:noWrap/>
            <w:vAlign w:val="center"/>
            <w:hideMark/>
          </w:tcPr>
          <w:p w14:paraId="2728936E" w14:textId="77777777" w:rsidR="003A427A" w:rsidRPr="00B62E94" w:rsidRDefault="003A427A" w:rsidP="00CE656A">
            <w:pPr>
              <w:rPr>
                <w:rFonts w:cs="Arial"/>
                <w:sz w:val="20"/>
              </w:rPr>
            </w:pPr>
            <w:r w:rsidRPr="00B62E94">
              <w:rPr>
                <w:rFonts w:cs="Arial"/>
                <w:sz w:val="20"/>
              </w:rPr>
              <w:t>N/A</w:t>
            </w:r>
          </w:p>
        </w:tc>
        <w:tc>
          <w:tcPr>
            <w:tcW w:w="2515" w:type="dxa"/>
            <w:vAlign w:val="center"/>
            <w:hideMark/>
          </w:tcPr>
          <w:p w14:paraId="5AAC9FA7" w14:textId="77777777" w:rsidR="003A427A" w:rsidRPr="00B62E94" w:rsidRDefault="003A427A" w:rsidP="00CE656A">
            <w:pPr>
              <w:rPr>
                <w:rFonts w:cs="Arial"/>
                <w:sz w:val="20"/>
              </w:rPr>
            </w:pPr>
            <w:r w:rsidRPr="00B62E94">
              <w:rPr>
                <w:rFonts w:cs="Arial"/>
                <w:sz w:val="20"/>
              </w:rPr>
              <w:t>In 20/21 Capital Programme</w:t>
            </w:r>
          </w:p>
        </w:tc>
        <w:tc>
          <w:tcPr>
            <w:tcW w:w="2050" w:type="dxa"/>
            <w:noWrap/>
            <w:vAlign w:val="center"/>
            <w:hideMark/>
          </w:tcPr>
          <w:p w14:paraId="2B75A874" w14:textId="77777777" w:rsidR="003A427A" w:rsidRPr="00B62E94" w:rsidRDefault="003A427A" w:rsidP="00233C95">
            <w:pPr>
              <w:jc w:val="right"/>
              <w:rPr>
                <w:rFonts w:cs="Arial"/>
                <w:sz w:val="20"/>
              </w:rPr>
            </w:pPr>
            <w:r w:rsidRPr="00B62E94">
              <w:rPr>
                <w:rFonts w:cs="Arial"/>
                <w:sz w:val="20"/>
              </w:rPr>
              <w:t>0</w:t>
            </w:r>
          </w:p>
        </w:tc>
      </w:tr>
      <w:tr w:rsidR="003A427A" w:rsidRPr="00B62E94" w14:paraId="632187D6" w14:textId="77777777" w:rsidTr="007344F4">
        <w:trPr>
          <w:trHeight w:val="206"/>
        </w:trPr>
        <w:tc>
          <w:tcPr>
            <w:tcW w:w="1624" w:type="dxa"/>
            <w:noWrap/>
            <w:vAlign w:val="center"/>
            <w:hideMark/>
          </w:tcPr>
          <w:p w14:paraId="450E34BA" w14:textId="77777777" w:rsidR="003A427A" w:rsidRPr="00B62E94" w:rsidRDefault="003A427A" w:rsidP="007344F4">
            <w:pPr>
              <w:jc w:val="center"/>
              <w:rPr>
                <w:rFonts w:cs="Arial"/>
                <w:sz w:val="20"/>
              </w:rPr>
            </w:pPr>
            <w:r w:rsidRPr="00B62E94">
              <w:rPr>
                <w:rFonts w:cs="Arial"/>
                <w:sz w:val="20"/>
              </w:rPr>
              <w:t>2023/24</w:t>
            </w:r>
          </w:p>
        </w:tc>
        <w:tc>
          <w:tcPr>
            <w:tcW w:w="4467" w:type="dxa"/>
            <w:noWrap/>
            <w:vAlign w:val="center"/>
            <w:hideMark/>
          </w:tcPr>
          <w:p w14:paraId="4D09AA85" w14:textId="77777777" w:rsidR="003A427A" w:rsidRPr="00B62E94" w:rsidRDefault="003A427A" w:rsidP="00CE656A">
            <w:pPr>
              <w:rPr>
                <w:rFonts w:cs="Arial"/>
                <w:sz w:val="20"/>
              </w:rPr>
            </w:pPr>
            <w:r w:rsidRPr="00B62E94">
              <w:rPr>
                <w:rFonts w:cs="Arial"/>
                <w:sz w:val="20"/>
              </w:rPr>
              <w:t>Green Grid</w:t>
            </w:r>
          </w:p>
        </w:tc>
        <w:tc>
          <w:tcPr>
            <w:tcW w:w="1417" w:type="dxa"/>
            <w:noWrap/>
            <w:vAlign w:val="center"/>
            <w:hideMark/>
          </w:tcPr>
          <w:p w14:paraId="06DFA030" w14:textId="77777777" w:rsidR="003A427A" w:rsidRPr="00B62E94" w:rsidRDefault="003A427A" w:rsidP="007344F4">
            <w:pPr>
              <w:jc w:val="right"/>
              <w:rPr>
                <w:rFonts w:cs="Arial"/>
                <w:sz w:val="20"/>
              </w:rPr>
            </w:pPr>
            <w:r w:rsidRPr="00B62E94">
              <w:rPr>
                <w:rFonts w:cs="Arial"/>
                <w:sz w:val="20"/>
              </w:rPr>
              <w:t>150,000</w:t>
            </w:r>
          </w:p>
        </w:tc>
        <w:tc>
          <w:tcPr>
            <w:tcW w:w="1985" w:type="dxa"/>
            <w:noWrap/>
            <w:vAlign w:val="center"/>
            <w:hideMark/>
          </w:tcPr>
          <w:p w14:paraId="4C110C2E" w14:textId="77777777" w:rsidR="003A427A" w:rsidRPr="00B62E94" w:rsidRDefault="003A427A" w:rsidP="00CE656A">
            <w:pPr>
              <w:rPr>
                <w:rFonts w:cs="Arial"/>
                <w:sz w:val="20"/>
              </w:rPr>
            </w:pPr>
            <w:r w:rsidRPr="00B62E94">
              <w:rPr>
                <w:rFonts w:cs="Arial"/>
                <w:sz w:val="20"/>
              </w:rPr>
              <w:t>Committed</w:t>
            </w:r>
          </w:p>
        </w:tc>
        <w:tc>
          <w:tcPr>
            <w:tcW w:w="2515" w:type="dxa"/>
            <w:vAlign w:val="center"/>
            <w:hideMark/>
          </w:tcPr>
          <w:p w14:paraId="450D2A23" w14:textId="77777777" w:rsidR="003A427A" w:rsidRPr="00B62E94" w:rsidRDefault="003A427A" w:rsidP="00CE656A">
            <w:pPr>
              <w:rPr>
                <w:rFonts w:cs="Arial"/>
                <w:sz w:val="20"/>
              </w:rPr>
            </w:pPr>
            <w:r w:rsidRPr="00B62E94">
              <w:rPr>
                <w:rFonts w:cs="Arial"/>
                <w:sz w:val="20"/>
              </w:rPr>
              <w:t>In 2021/22 Capital Programme</w:t>
            </w:r>
          </w:p>
        </w:tc>
        <w:tc>
          <w:tcPr>
            <w:tcW w:w="2050" w:type="dxa"/>
            <w:noWrap/>
            <w:vAlign w:val="center"/>
            <w:hideMark/>
          </w:tcPr>
          <w:p w14:paraId="251649FF" w14:textId="77777777" w:rsidR="003A427A" w:rsidRPr="00B62E94" w:rsidRDefault="003A427A" w:rsidP="00233C95">
            <w:pPr>
              <w:jc w:val="right"/>
              <w:rPr>
                <w:rFonts w:cs="Arial"/>
                <w:sz w:val="20"/>
              </w:rPr>
            </w:pPr>
            <w:r w:rsidRPr="00B62E94">
              <w:rPr>
                <w:rFonts w:cs="Arial"/>
                <w:sz w:val="20"/>
              </w:rPr>
              <w:t>150,000</w:t>
            </w:r>
          </w:p>
        </w:tc>
      </w:tr>
      <w:tr w:rsidR="003A427A" w:rsidRPr="00B62E94" w14:paraId="4945C6D0" w14:textId="77777777" w:rsidTr="007344F4">
        <w:trPr>
          <w:trHeight w:val="206"/>
        </w:trPr>
        <w:tc>
          <w:tcPr>
            <w:tcW w:w="1624" w:type="dxa"/>
            <w:noWrap/>
            <w:vAlign w:val="center"/>
            <w:hideMark/>
          </w:tcPr>
          <w:p w14:paraId="18651288" w14:textId="77777777" w:rsidR="003A427A" w:rsidRPr="00B62E94" w:rsidRDefault="003A427A" w:rsidP="007344F4">
            <w:pPr>
              <w:jc w:val="center"/>
              <w:rPr>
                <w:rFonts w:cs="Arial"/>
                <w:sz w:val="20"/>
              </w:rPr>
            </w:pPr>
            <w:r w:rsidRPr="00B62E94">
              <w:rPr>
                <w:rFonts w:cs="Arial"/>
                <w:sz w:val="20"/>
              </w:rPr>
              <w:t>2023/24</w:t>
            </w:r>
          </w:p>
        </w:tc>
        <w:tc>
          <w:tcPr>
            <w:tcW w:w="4467" w:type="dxa"/>
            <w:noWrap/>
            <w:vAlign w:val="center"/>
            <w:hideMark/>
          </w:tcPr>
          <w:p w14:paraId="7884B38F" w14:textId="77777777" w:rsidR="003A427A" w:rsidRPr="00B62E94" w:rsidRDefault="003A427A" w:rsidP="00CE656A">
            <w:pPr>
              <w:rPr>
                <w:rFonts w:cs="Arial"/>
                <w:sz w:val="20"/>
              </w:rPr>
            </w:pPr>
            <w:r w:rsidRPr="00B62E94">
              <w:rPr>
                <w:rFonts w:cs="Arial"/>
                <w:sz w:val="20"/>
              </w:rPr>
              <w:t>Flood Defence &amp; Highway Drainage</w:t>
            </w:r>
          </w:p>
        </w:tc>
        <w:tc>
          <w:tcPr>
            <w:tcW w:w="1417" w:type="dxa"/>
            <w:noWrap/>
            <w:vAlign w:val="center"/>
            <w:hideMark/>
          </w:tcPr>
          <w:p w14:paraId="15E97215" w14:textId="77777777" w:rsidR="003A427A" w:rsidRPr="00B62E94" w:rsidRDefault="003A427A" w:rsidP="007344F4">
            <w:pPr>
              <w:jc w:val="right"/>
              <w:rPr>
                <w:rFonts w:cs="Arial"/>
                <w:sz w:val="20"/>
              </w:rPr>
            </w:pPr>
            <w:r w:rsidRPr="00B62E94">
              <w:rPr>
                <w:rFonts w:cs="Arial"/>
                <w:sz w:val="20"/>
              </w:rPr>
              <w:t>500,000</w:t>
            </w:r>
          </w:p>
        </w:tc>
        <w:tc>
          <w:tcPr>
            <w:tcW w:w="1985" w:type="dxa"/>
            <w:noWrap/>
            <w:vAlign w:val="center"/>
            <w:hideMark/>
          </w:tcPr>
          <w:p w14:paraId="37CA504B" w14:textId="77777777" w:rsidR="003A427A" w:rsidRPr="00B62E94" w:rsidRDefault="003A427A" w:rsidP="00CE656A">
            <w:pPr>
              <w:rPr>
                <w:rFonts w:cs="Arial"/>
                <w:sz w:val="20"/>
              </w:rPr>
            </w:pPr>
            <w:r w:rsidRPr="00B62E94">
              <w:rPr>
                <w:rFonts w:cs="Arial"/>
                <w:sz w:val="20"/>
              </w:rPr>
              <w:t>Committed</w:t>
            </w:r>
          </w:p>
        </w:tc>
        <w:tc>
          <w:tcPr>
            <w:tcW w:w="2515" w:type="dxa"/>
            <w:vAlign w:val="center"/>
            <w:hideMark/>
          </w:tcPr>
          <w:p w14:paraId="67771DB8" w14:textId="77777777" w:rsidR="003A427A" w:rsidRPr="00B62E94" w:rsidRDefault="003A427A" w:rsidP="00CE656A">
            <w:pPr>
              <w:rPr>
                <w:rFonts w:cs="Arial"/>
                <w:sz w:val="20"/>
              </w:rPr>
            </w:pPr>
            <w:r w:rsidRPr="00B62E94">
              <w:rPr>
                <w:rFonts w:cs="Arial"/>
                <w:sz w:val="20"/>
              </w:rPr>
              <w:t>In 2021/22 Capital Programme</w:t>
            </w:r>
          </w:p>
        </w:tc>
        <w:tc>
          <w:tcPr>
            <w:tcW w:w="2050" w:type="dxa"/>
            <w:noWrap/>
            <w:vAlign w:val="center"/>
            <w:hideMark/>
          </w:tcPr>
          <w:p w14:paraId="5FBBF8D4" w14:textId="77777777" w:rsidR="003A427A" w:rsidRPr="00B62E94" w:rsidRDefault="003A427A" w:rsidP="00233C95">
            <w:pPr>
              <w:jc w:val="right"/>
              <w:rPr>
                <w:rFonts w:cs="Arial"/>
                <w:sz w:val="20"/>
              </w:rPr>
            </w:pPr>
            <w:r w:rsidRPr="00B62E94">
              <w:rPr>
                <w:rFonts w:cs="Arial"/>
                <w:sz w:val="20"/>
              </w:rPr>
              <w:t>500,000</w:t>
            </w:r>
          </w:p>
        </w:tc>
      </w:tr>
      <w:tr w:rsidR="003A427A" w:rsidRPr="00B62E94" w14:paraId="54A0A2FE" w14:textId="77777777" w:rsidTr="007344F4">
        <w:trPr>
          <w:trHeight w:val="206"/>
        </w:trPr>
        <w:tc>
          <w:tcPr>
            <w:tcW w:w="1624" w:type="dxa"/>
            <w:noWrap/>
            <w:vAlign w:val="center"/>
            <w:hideMark/>
          </w:tcPr>
          <w:p w14:paraId="14E905B0" w14:textId="77777777" w:rsidR="003A427A" w:rsidRPr="00B62E94" w:rsidRDefault="003A427A" w:rsidP="007344F4">
            <w:pPr>
              <w:jc w:val="center"/>
              <w:rPr>
                <w:rFonts w:cs="Arial"/>
                <w:sz w:val="20"/>
              </w:rPr>
            </w:pPr>
            <w:r w:rsidRPr="00B62E94">
              <w:rPr>
                <w:rFonts w:cs="Arial"/>
                <w:sz w:val="20"/>
              </w:rPr>
              <w:t>2023/24</w:t>
            </w:r>
          </w:p>
        </w:tc>
        <w:tc>
          <w:tcPr>
            <w:tcW w:w="4467" w:type="dxa"/>
            <w:noWrap/>
            <w:vAlign w:val="center"/>
            <w:hideMark/>
          </w:tcPr>
          <w:p w14:paraId="4A8BE889" w14:textId="77777777" w:rsidR="003A427A" w:rsidRPr="00B62E94" w:rsidRDefault="003A427A" w:rsidP="00CE656A">
            <w:pPr>
              <w:rPr>
                <w:rFonts w:cs="Arial"/>
                <w:sz w:val="20"/>
              </w:rPr>
            </w:pPr>
            <w:r w:rsidRPr="00B62E94">
              <w:rPr>
                <w:rFonts w:cs="Arial"/>
                <w:sz w:val="20"/>
              </w:rPr>
              <w:t>High Street Fund</w:t>
            </w:r>
          </w:p>
        </w:tc>
        <w:tc>
          <w:tcPr>
            <w:tcW w:w="1417" w:type="dxa"/>
            <w:noWrap/>
            <w:vAlign w:val="center"/>
            <w:hideMark/>
          </w:tcPr>
          <w:p w14:paraId="7464A110" w14:textId="77777777" w:rsidR="003A427A" w:rsidRPr="00B62E94" w:rsidRDefault="003A427A" w:rsidP="007344F4">
            <w:pPr>
              <w:jc w:val="right"/>
              <w:rPr>
                <w:rFonts w:cs="Arial"/>
                <w:sz w:val="20"/>
              </w:rPr>
            </w:pPr>
            <w:r w:rsidRPr="00B62E94">
              <w:rPr>
                <w:rFonts w:cs="Arial"/>
                <w:sz w:val="20"/>
              </w:rPr>
              <w:t>1,000,000</w:t>
            </w:r>
          </w:p>
        </w:tc>
        <w:tc>
          <w:tcPr>
            <w:tcW w:w="1985" w:type="dxa"/>
            <w:noWrap/>
            <w:vAlign w:val="center"/>
            <w:hideMark/>
          </w:tcPr>
          <w:p w14:paraId="5383E616" w14:textId="77777777" w:rsidR="003A427A" w:rsidRPr="00B62E94" w:rsidRDefault="003A427A" w:rsidP="00CE656A">
            <w:pPr>
              <w:rPr>
                <w:rFonts w:cs="Arial"/>
                <w:sz w:val="20"/>
              </w:rPr>
            </w:pPr>
            <w:r w:rsidRPr="00B62E94">
              <w:rPr>
                <w:rFonts w:cs="Arial"/>
                <w:sz w:val="20"/>
              </w:rPr>
              <w:t>Committed</w:t>
            </w:r>
          </w:p>
        </w:tc>
        <w:tc>
          <w:tcPr>
            <w:tcW w:w="2515" w:type="dxa"/>
            <w:vAlign w:val="center"/>
            <w:hideMark/>
          </w:tcPr>
          <w:p w14:paraId="061EBCD4" w14:textId="77777777" w:rsidR="003A427A" w:rsidRPr="00B62E94" w:rsidRDefault="003A427A" w:rsidP="00CE656A">
            <w:pPr>
              <w:rPr>
                <w:rFonts w:cs="Arial"/>
                <w:sz w:val="20"/>
              </w:rPr>
            </w:pPr>
            <w:r w:rsidRPr="00B62E94">
              <w:rPr>
                <w:rFonts w:cs="Arial"/>
                <w:sz w:val="20"/>
              </w:rPr>
              <w:t>In 2021/22 Capital Programme</w:t>
            </w:r>
          </w:p>
        </w:tc>
        <w:tc>
          <w:tcPr>
            <w:tcW w:w="2050" w:type="dxa"/>
            <w:noWrap/>
            <w:vAlign w:val="center"/>
            <w:hideMark/>
          </w:tcPr>
          <w:p w14:paraId="643EB488" w14:textId="77777777" w:rsidR="003A427A" w:rsidRPr="00B62E94" w:rsidRDefault="003A427A" w:rsidP="00233C95">
            <w:pPr>
              <w:jc w:val="right"/>
              <w:rPr>
                <w:rFonts w:cs="Arial"/>
                <w:sz w:val="20"/>
              </w:rPr>
            </w:pPr>
            <w:r w:rsidRPr="00B62E94">
              <w:rPr>
                <w:rFonts w:cs="Arial"/>
                <w:sz w:val="20"/>
              </w:rPr>
              <w:t>1,000,000</w:t>
            </w:r>
          </w:p>
        </w:tc>
      </w:tr>
      <w:tr w:rsidR="003A427A" w:rsidRPr="00B62E94" w14:paraId="426A1522" w14:textId="77777777" w:rsidTr="007344F4">
        <w:trPr>
          <w:trHeight w:val="206"/>
        </w:trPr>
        <w:tc>
          <w:tcPr>
            <w:tcW w:w="1624" w:type="dxa"/>
            <w:noWrap/>
            <w:vAlign w:val="center"/>
            <w:hideMark/>
          </w:tcPr>
          <w:p w14:paraId="3199BF18" w14:textId="77777777" w:rsidR="003A427A" w:rsidRPr="00B62E94" w:rsidRDefault="003A427A" w:rsidP="007344F4">
            <w:pPr>
              <w:jc w:val="center"/>
              <w:rPr>
                <w:rFonts w:cs="Arial"/>
                <w:sz w:val="20"/>
              </w:rPr>
            </w:pPr>
            <w:r w:rsidRPr="00B62E94">
              <w:rPr>
                <w:rFonts w:cs="Arial"/>
                <w:sz w:val="20"/>
              </w:rPr>
              <w:t>2023/24</w:t>
            </w:r>
          </w:p>
        </w:tc>
        <w:tc>
          <w:tcPr>
            <w:tcW w:w="4467" w:type="dxa"/>
            <w:noWrap/>
            <w:vAlign w:val="center"/>
            <w:hideMark/>
          </w:tcPr>
          <w:p w14:paraId="7244C6DE" w14:textId="77777777" w:rsidR="003A427A" w:rsidRPr="00B62E94" w:rsidRDefault="003A427A" w:rsidP="00CE656A">
            <w:pPr>
              <w:rPr>
                <w:rFonts w:cs="Arial"/>
                <w:sz w:val="20"/>
              </w:rPr>
            </w:pPr>
            <w:r w:rsidRPr="00B62E94">
              <w:rPr>
                <w:rFonts w:cs="Arial"/>
                <w:sz w:val="20"/>
              </w:rPr>
              <w:t>Wealdstone Future High Street Fund</w:t>
            </w:r>
          </w:p>
        </w:tc>
        <w:tc>
          <w:tcPr>
            <w:tcW w:w="1417" w:type="dxa"/>
            <w:noWrap/>
            <w:vAlign w:val="center"/>
            <w:hideMark/>
          </w:tcPr>
          <w:p w14:paraId="538E39F8" w14:textId="77777777" w:rsidR="003A427A" w:rsidRPr="00B62E94" w:rsidRDefault="003A427A" w:rsidP="007344F4">
            <w:pPr>
              <w:jc w:val="right"/>
              <w:rPr>
                <w:rFonts w:cs="Arial"/>
                <w:sz w:val="20"/>
              </w:rPr>
            </w:pPr>
            <w:r w:rsidRPr="00B62E94">
              <w:rPr>
                <w:rFonts w:cs="Arial"/>
                <w:sz w:val="20"/>
              </w:rPr>
              <w:t>1,760,000</w:t>
            </w:r>
          </w:p>
        </w:tc>
        <w:tc>
          <w:tcPr>
            <w:tcW w:w="1985" w:type="dxa"/>
            <w:noWrap/>
            <w:vAlign w:val="center"/>
            <w:hideMark/>
          </w:tcPr>
          <w:p w14:paraId="1252BABC" w14:textId="77777777" w:rsidR="003A427A" w:rsidRPr="00B62E94" w:rsidRDefault="003A427A" w:rsidP="00CE656A">
            <w:pPr>
              <w:rPr>
                <w:rFonts w:cs="Arial"/>
                <w:sz w:val="20"/>
              </w:rPr>
            </w:pPr>
            <w:r w:rsidRPr="00B62E94">
              <w:rPr>
                <w:rFonts w:cs="Arial"/>
                <w:sz w:val="20"/>
              </w:rPr>
              <w:t>Committed</w:t>
            </w:r>
          </w:p>
        </w:tc>
        <w:tc>
          <w:tcPr>
            <w:tcW w:w="2515" w:type="dxa"/>
            <w:vAlign w:val="center"/>
            <w:hideMark/>
          </w:tcPr>
          <w:p w14:paraId="0AD27765" w14:textId="77777777" w:rsidR="003A427A" w:rsidRPr="00B62E94" w:rsidRDefault="003A427A" w:rsidP="00CE656A">
            <w:pPr>
              <w:rPr>
                <w:rFonts w:cs="Arial"/>
                <w:sz w:val="20"/>
              </w:rPr>
            </w:pPr>
            <w:r w:rsidRPr="00B62E94">
              <w:rPr>
                <w:rFonts w:cs="Arial"/>
                <w:sz w:val="20"/>
              </w:rPr>
              <w:t>In 2021/22 Final Capital Programme</w:t>
            </w:r>
          </w:p>
        </w:tc>
        <w:tc>
          <w:tcPr>
            <w:tcW w:w="2050" w:type="dxa"/>
            <w:noWrap/>
            <w:vAlign w:val="center"/>
            <w:hideMark/>
          </w:tcPr>
          <w:p w14:paraId="473B20E7" w14:textId="77777777" w:rsidR="003A427A" w:rsidRPr="00B62E94" w:rsidRDefault="003A427A" w:rsidP="00233C95">
            <w:pPr>
              <w:jc w:val="right"/>
              <w:rPr>
                <w:rFonts w:cs="Arial"/>
                <w:sz w:val="20"/>
              </w:rPr>
            </w:pPr>
            <w:r w:rsidRPr="00B62E94">
              <w:rPr>
                <w:rFonts w:cs="Arial"/>
                <w:sz w:val="20"/>
              </w:rPr>
              <w:t>1,760,000</w:t>
            </w:r>
          </w:p>
        </w:tc>
      </w:tr>
    </w:tbl>
    <w:p w14:paraId="64F6F22A" w14:textId="77777777" w:rsidR="00A03E4F" w:rsidRDefault="00A03E4F">
      <w:pPr>
        <w:rPr>
          <w:rFonts w:cs="Arial"/>
          <w:b/>
          <w:bCs/>
        </w:rPr>
      </w:pPr>
    </w:p>
    <w:p w14:paraId="4DDBDEBC" w14:textId="77777777" w:rsidR="00233C95" w:rsidRDefault="00233C95">
      <w:pPr>
        <w:rPr>
          <w:rFonts w:cs="Arial"/>
          <w:b/>
          <w:bCs/>
        </w:rPr>
      </w:pPr>
    </w:p>
    <w:p w14:paraId="28DCEFF0" w14:textId="77777777" w:rsidR="00233C95" w:rsidRDefault="00233C95">
      <w:pPr>
        <w:rPr>
          <w:rFonts w:cs="Arial"/>
          <w:b/>
          <w:bCs/>
        </w:rPr>
      </w:pPr>
    </w:p>
    <w:p w14:paraId="5B2C1255" w14:textId="06FCBCA0" w:rsidR="00A03E4F" w:rsidRDefault="00A03E4F">
      <w:pPr>
        <w:rPr>
          <w:rFonts w:cs="Arial"/>
          <w:b/>
          <w:bCs/>
        </w:rPr>
        <w:sectPr w:rsidR="00A03E4F" w:rsidSect="00571C4A">
          <w:pgSz w:w="16834" w:h="11909" w:orient="landscape" w:code="9"/>
          <w:pgMar w:top="1800" w:right="864" w:bottom="1800" w:left="1440" w:header="1008" w:footer="432" w:gutter="0"/>
          <w:cols w:space="720"/>
          <w:titlePg/>
          <w:docGrid w:linePitch="360"/>
        </w:sectPr>
      </w:pPr>
    </w:p>
    <w:p w14:paraId="43509996" w14:textId="44C832A0" w:rsidR="00B62E94" w:rsidRDefault="00B62E94">
      <w:pPr>
        <w:rPr>
          <w:rFonts w:cs="Arial"/>
          <w:b/>
          <w:bCs/>
        </w:rPr>
      </w:pPr>
    </w:p>
    <w:p w14:paraId="3E464B71" w14:textId="4F1DBFB6" w:rsidR="003A427A" w:rsidRPr="00677627" w:rsidRDefault="003A427A" w:rsidP="003A427A">
      <w:pPr>
        <w:rPr>
          <w:rFonts w:cs="Arial"/>
          <w:b/>
          <w:bCs/>
        </w:rPr>
      </w:pPr>
      <w:r>
        <w:rPr>
          <w:rFonts w:cs="Arial"/>
          <w:b/>
          <w:bCs/>
        </w:rPr>
        <w:t>APPENDIX D - EXAMPLE OF BEST PRACTICE:</w:t>
      </w:r>
      <w:r>
        <w:rPr>
          <w:rFonts w:cs="Arial"/>
          <w:b/>
          <w:bCs/>
        </w:rPr>
        <w:tab/>
      </w:r>
      <w:r w:rsidRPr="00677627">
        <w:rPr>
          <w:rFonts w:cs="Arial"/>
          <w:b/>
          <w:bCs/>
        </w:rPr>
        <w:t>LEWISHAM LONDON BOROUGH</w:t>
      </w:r>
    </w:p>
    <w:p w14:paraId="29C90FE9" w14:textId="77777777" w:rsidR="003A427A" w:rsidRPr="00B1622F" w:rsidRDefault="003A427A" w:rsidP="003A427A">
      <w:pPr>
        <w:rPr>
          <w:rFonts w:cs="Arial"/>
          <w:b/>
          <w:bCs/>
          <w:sz w:val="22"/>
          <w:szCs w:val="22"/>
        </w:rPr>
      </w:pPr>
    </w:p>
    <w:p w14:paraId="217419AA" w14:textId="77777777" w:rsidR="003A427A" w:rsidRPr="00B1622F" w:rsidRDefault="003A427A" w:rsidP="003A427A">
      <w:pPr>
        <w:rPr>
          <w:rFonts w:cs="Arial"/>
          <w:b/>
          <w:bCs/>
          <w:sz w:val="22"/>
          <w:szCs w:val="22"/>
        </w:rPr>
      </w:pPr>
      <w:r w:rsidRPr="00B1622F">
        <w:rPr>
          <w:rFonts w:cs="Arial"/>
          <w:b/>
          <w:bCs/>
          <w:sz w:val="22"/>
          <w:szCs w:val="22"/>
        </w:rPr>
        <w:t>What is NCIL?</w:t>
      </w:r>
    </w:p>
    <w:p w14:paraId="7E095530" w14:textId="77777777" w:rsidR="003A427A" w:rsidRPr="00B1622F" w:rsidRDefault="003A427A" w:rsidP="003A427A">
      <w:pPr>
        <w:rPr>
          <w:rFonts w:cs="Arial"/>
          <w:sz w:val="22"/>
          <w:szCs w:val="22"/>
        </w:rPr>
      </w:pPr>
      <w:r w:rsidRPr="00B1622F">
        <w:rPr>
          <w:rFonts w:cs="Arial"/>
          <w:sz w:val="22"/>
          <w:szCs w:val="22"/>
        </w:rPr>
        <w:t>The Neighbourhood Community Infrastructure Levy (NCIL) is a community funding programme that uses money collected from developers. </w:t>
      </w:r>
    </w:p>
    <w:p w14:paraId="0C22F137" w14:textId="77777777" w:rsidR="00A03E4F" w:rsidRPr="00B1622F" w:rsidRDefault="00A03E4F" w:rsidP="003A427A">
      <w:pPr>
        <w:rPr>
          <w:rFonts w:cs="Arial"/>
          <w:sz w:val="22"/>
          <w:szCs w:val="22"/>
        </w:rPr>
      </w:pPr>
    </w:p>
    <w:p w14:paraId="471608C0" w14:textId="77777777" w:rsidR="003A427A" w:rsidRPr="00B1622F" w:rsidRDefault="003A427A" w:rsidP="003A427A">
      <w:pPr>
        <w:rPr>
          <w:rFonts w:cs="Arial"/>
          <w:sz w:val="22"/>
          <w:szCs w:val="22"/>
        </w:rPr>
      </w:pPr>
      <w:r w:rsidRPr="00B1622F">
        <w:rPr>
          <w:rFonts w:cs="Arial"/>
          <w:sz w:val="22"/>
          <w:szCs w:val="22"/>
        </w:rPr>
        <w:t>The Community Infrastructure Levy (CIL) is a non-negotiable charge that developers pay to councils on most new developments. It is used to deliver the infrastructure needed to support development. </w:t>
      </w:r>
    </w:p>
    <w:p w14:paraId="300A1E1C" w14:textId="77777777" w:rsidR="00A03E4F" w:rsidRPr="00B1622F" w:rsidRDefault="00A03E4F" w:rsidP="003A427A">
      <w:pPr>
        <w:rPr>
          <w:rFonts w:cs="Arial"/>
          <w:sz w:val="22"/>
          <w:szCs w:val="22"/>
        </w:rPr>
      </w:pPr>
    </w:p>
    <w:p w14:paraId="335A8066" w14:textId="338C7FA8" w:rsidR="003A427A" w:rsidRPr="00B1622F" w:rsidRDefault="003A427A" w:rsidP="003A427A">
      <w:pPr>
        <w:rPr>
          <w:rFonts w:cs="Arial"/>
          <w:sz w:val="22"/>
          <w:szCs w:val="22"/>
        </w:rPr>
      </w:pPr>
      <w:r w:rsidRPr="00B1622F">
        <w:rPr>
          <w:rFonts w:cs="Arial"/>
          <w:sz w:val="22"/>
          <w:szCs w:val="22"/>
        </w:rPr>
        <w:t xml:space="preserve">NCIL projects are submitted by the community on the Commonplace Engagement Platform which actively empowers the community to get involved in the processes and submit projects that are meaningful to them. The community often come up with projects that people in the council may not have local scale knowledge of. </w:t>
      </w:r>
    </w:p>
    <w:p w14:paraId="05EB1F22" w14:textId="77777777" w:rsidR="00A03E4F" w:rsidRPr="00B1622F" w:rsidRDefault="00A03E4F" w:rsidP="003A427A">
      <w:pPr>
        <w:rPr>
          <w:rFonts w:cs="Arial"/>
          <w:sz w:val="22"/>
          <w:szCs w:val="22"/>
        </w:rPr>
      </w:pPr>
    </w:p>
    <w:p w14:paraId="31FC89F2" w14:textId="77777777" w:rsidR="003A427A" w:rsidRPr="00B1622F" w:rsidRDefault="003A427A" w:rsidP="003A427A">
      <w:pPr>
        <w:rPr>
          <w:rFonts w:cs="Arial"/>
          <w:sz w:val="22"/>
          <w:szCs w:val="22"/>
        </w:rPr>
      </w:pPr>
      <w:r w:rsidRPr="00B1622F">
        <w:rPr>
          <w:rFonts w:cs="Arial"/>
          <w:b/>
          <w:bCs/>
          <w:sz w:val="22"/>
          <w:szCs w:val="22"/>
        </w:rPr>
        <w:t>Investment can include:</w:t>
      </w:r>
    </w:p>
    <w:p w14:paraId="4044C7EE" w14:textId="77777777" w:rsidR="003A427A" w:rsidRPr="00B1622F" w:rsidRDefault="003A427A" w:rsidP="008047D5">
      <w:pPr>
        <w:numPr>
          <w:ilvl w:val="0"/>
          <w:numId w:val="1"/>
        </w:numPr>
        <w:spacing w:after="160" w:line="259" w:lineRule="auto"/>
        <w:rPr>
          <w:rFonts w:cs="Arial"/>
          <w:sz w:val="22"/>
          <w:szCs w:val="22"/>
        </w:rPr>
      </w:pPr>
      <w:r w:rsidRPr="00B1622F">
        <w:rPr>
          <w:rFonts w:cs="Arial"/>
          <w:sz w:val="22"/>
          <w:szCs w:val="22"/>
        </w:rPr>
        <w:t>community facilities</w:t>
      </w:r>
    </w:p>
    <w:p w14:paraId="29B6C616" w14:textId="77777777" w:rsidR="003A427A" w:rsidRPr="00B1622F" w:rsidRDefault="003A427A" w:rsidP="008047D5">
      <w:pPr>
        <w:numPr>
          <w:ilvl w:val="0"/>
          <w:numId w:val="1"/>
        </w:numPr>
        <w:spacing w:after="160" w:line="259" w:lineRule="auto"/>
        <w:rPr>
          <w:rFonts w:cs="Arial"/>
          <w:sz w:val="22"/>
          <w:szCs w:val="22"/>
        </w:rPr>
      </w:pPr>
      <w:r w:rsidRPr="00B1622F">
        <w:rPr>
          <w:rFonts w:cs="Arial"/>
          <w:sz w:val="22"/>
          <w:szCs w:val="22"/>
        </w:rPr>
        <w:t>parks and open spaces</w:t>
      </w:r>
    </w:p>
    <w:p w14:paraId="63D9FE8D" w14:textId="77777777" w:rsidR="003A427A" w:rsidRPr="00B1622F" w:rsidRDefault="003A427A" w:rsidP="008047D5">
      <w:pPr>
        <w:numPr>
          <w:ilvl w:val="0"/>
          <w:numId w:val="1"/>
        </w:numPr>
        <w:spacing w:after="160" w:line="259" w:lineRule="auto"/>
        <w:rPr>
          <w:rFonts w:cs="Arial"/>
          <w:sz w:val="22"/>
          <w:szCs w:val="22"/>
        </w:rPr>
      </w:pPr>
      <w:r w:rsidRPr="00B1622F">
        <w:rPr>
          <w:rFonts w:cs="Arial"/>
          <w:sz w:val="22"/>
          <w:szCs w:val="22"/>
        </w:rPr>
        <w:t>transport improvements.</w:t>
      </w:r>
    </w:p>
    <w:p w14:paraId="3D0748C8" w14:textId="77777777" w:rsidR="003A427A" w:rsidRPr="00B1622F" w:rsidRDefault="003A427A" w:rsidP="003A427A">
      <w:pPr>
        <w:rPr>
          <w:rFonts w:cs="Arial"/>
          <w:sz w:val="22"/>
          <w:szCs w:val="22"/>
        </w:rPr>
      </w:pPr>
      <w:r w:rsidRPr="00B1622F">
        <w:rPr>
          <w:rFonts w:cs="Arial"/>
          <w:sz w:val="22"/>
          <w:szCs w:val="22"/>
        </w:rPr>
        <w:t>A portion of CIL can be set aside to be spent on neighbourhood priorities, known as NCIL. NCIL money has to be spent to support the development of the area. It can be spent on infrastructure, or anything else that supports the demands that development places on an area.</w:t>
      </w:r>
    </w:p>
    <w:p w14:paraId="723521D2" w14:textId="77777777" w:rsidR="00A03E4F" w:rsidRPr="00B1622F" w:rsidRDefault="00A03E4F" w:rsidP="003A427A">
      <w:pPr>
        <w:rPr>
          <w:rFonts w:cs="Arial"/>
          <w:b/>
          <w:bCs/>
          <w:sz w:val="22"/>
          <w:szCs w:val="22"/>
        </w:rPr>
      </w:pPr>
    </w:p>
    <w:p w14:paraId="5B7FE72A" w14:textId="28161520" w:rsidR="003A427A" w:rsidRPr="00B1622F" w:rsidRDefault="003A427A" w:rsidP="003A427A">
      <w:pPr>
        <w:rPr>
          <w:rFonts w:cs="Arial"/>
          <w:b/>
          <w:bCs/>
          <w:sz w:val="22"/>
          <w:szCs w:val="22"/>
        </w:rPr>
      </w:pPr>
      <w:r w:rsidRPr="00B1622F">
        <w:rPr>
          <w:rFonts w:cs="Arial"/>
          <w:b/>
          <w:bCs/>
          <w:sz w:val="22"/>
          <w:szCs w:val="22"/>
        </w:rPr>
        <w:t>In Lewisham there are two NCIL funds:</w:t>
      </w:r>
    </w:p>
    <w:p w14:paraId="54D40D2C" w14:textId="77777777" w:rsidR="003A427A" w:rsidRPr="00B1622F" w:rsidRDefault="003A427A" w:rsidP="008047D5">
      <w:pPr>
        <w:numPr>
          <w:ilvl w:val="0"/>
          <w:numId w:val="2"/>
        </w:numPr>
        <w:spacing w:after="160" w:line="259" w:lineRule="auto"/>
        <w:rPr>
          <w:rFonts w:cs="Arial"/>
          <w:sz w:val="22"/>
          <w:szCs w:val="22"/>
        </w:rPr>
      </w:pPr>
      <w:r w:rsidRPr="00B1622F">
        <w:rPr>
          <w:rFonts w:cs="Arial"/>
          <w:sz w:val="22"/>
          <w:szCs w:val="22"/>
        </w:rPr>
        <w:t>Ward NCIL funds projects that are intended to benefit one of Lewisham's 18 individual wards</w:t>
      </w:r>
    </w:p>
    <w:p w14:paraId="660A45CC" w14:textId="77777777" w:rsidR="003A427A" w:rsidRPr="00B1622F" w:rsidRDefault="003A427A" w:rsidP="008047D5">
      <w:pPr>
        <w:numPr>
          <w:ilvl w:val="0"/>
          <w:numId w:val="2"/>
        </w:numPr>
        <w:spacing w:after="160" w:line="259" w:lineRule="auto"/>
        <w:rPr>
          <w:rFonts w:cs="Arial"/>
          <w:sz w:val="22"/>
          <w:szCs w:val="22"/>
        </w:rPr>
      </w:pPr>
      <w:r w:rsidRPr="00B1622F">
        <w:rPr>
          <w:rFonts w:cs="Arial"/>
          <w:sz w:val="22"/>
          <w:szCs w:val="22"/>
        </w:rPr>
        <w:t>Borough-wide NCIL funds projects that will benefit two or more wards in the borough or the borough as a whole</w:t>
      </w:r>
    </w:p>
    <w:p w14:paraId="332483C5" w14:textId="77777777" w:rsidR="003A427A" w:rsidRPr="00B1622F" w:rsidRDefault="003A427A" w:rsidP="003A427A">
      <w:pPr>
        <w:rPr>
          <w:rFonts w:cs="Arial"/>
          <w:b/>
          <w:bCs/>
          <w:sz w:val="22"/>
          <w:szCs w:val="22"/>
        </w:rPr>
      </w:pPr>
      <w:r w:rsidRPr="00B1622F">
        <w:rPr>
          <w:rFonts w:cs="Arial"/>
          <w:b/>
          <w:bCs/>
          <w:sz w:val="22"/>
          <w:szCs w:val="22"/>
        </w:rPr>
        <w:t>Borough-Wide NCIL projects supported: Report November 2021</w:t>
      </w:r>
    </w:p>
    <w:p w14:paraId="28364135" w14:textId="77777777" w:rsidR="00A1308D" w:rsidRPr="00B1622F" w:rsidRDefault="00A1308D" w:rsidP="003A427A">
      <w:pPr>
        <w:rPr>
          <w:rFonts w:cs="Arial"/>
          <w:sz w:val="22"/>
          <w:szCs w:val="22"/>
        </w:rPr>
      </w:pPr>
    </w:p>
    <w:p w14:paraId="1ADFDC2F" w14:textId="55F4B7A6" w:rsidR="003A427A" w:rsidRPr="00B1622F" w:rsidRDefault="003A427A" w:rsidP="003A427A">
      <w:pPr>
        <w:rPr>
          <w:rFonts w:cs="Arial"/>
          <w:sz w:val="22"/>
          <w:szCs w:val="22"/>
        </w:rPr>
      </w:pPr>
      <w:r w:rsidRPr="00B1622F">
        <w:rPr>
          <w:rFonts w:cs="Arial"/>
          <w:sz w:val="22"/>
          <w:szCs w:val="22"/>
        </w:rPr>
        <w:t>122 applications were received with requested funding of over £4.7 million for the NCIL funding pot of £877.094.</w:t>
      </w:r>
    </w:p>
    <w:p w14:paraId="27843053" w14:textId="77777777" w:rsidR="00A1308D" w:rsidRPr="00B1622F" w:rsidRDefault="00A1308D" w:rsidP="003A427A">
      <w:pPr>
        <w:rPr>
          <w:rFonts w:cs="Arial"/>
          <w:sz w:val="22"/>
          <w:szCs w:val="22"/>
        </w:rPr>
      </w:pPr>
    </w:p>
    <w:p w14:paraId="190EB2B8" w14:textId="4470694B" w:rsidR="003A427A" w:rsidRPr="00B1622F" w:rsidRDefault="003A427A" w:rsidP="003A427A">
      <w:pPr>
        <w:rPr>
          <w:rFonts w:cs="Arial"/>
          <w:sz w:val="22"/>
          <w:szCs w:val="22"/>
        </w:rPr>
      </w:pPr>
      <w:r w:rsidRPr="00B1622F">
        <w:rPr>
          <w:rFonts w:cs="Arial"/>
          <w:sz w:val="22"/>
          <w:szCs w:val="22"/>
        </w:rPr>
        <w:t>On 3 November 2021, Mayor and Cabinet agreed 25 community projects focused on four main priorities;</w:t>
      </w:r>
    </w:p>
    <w:p w14:paraId="63EB06CC" w14:textId="77777777" w:rsidR="003A427A" w:rsidRPr="00B1622F" w:rsidRDefault="003A427A" w:rsidP="008047D5">
      <w:pPr>
        <w:numPr>
          <w:ilvl w:val="0"/>
          <w:numId w:val="3"/>
        </w:numPr>
        <w:spacing w:after="160" w:line="259" w:lineRule="auto"/>
        <w:rPr>
          <w:rFonts w:cs="Arial"/>
          <w:sz w:val="22"/>
          <w:szCs w:val="22"/>
        </w:rPr>
      </w:pPr>
      <w:r w:rsidRPr="00B1622F">
        <w:rPr>
          <w:rFonts w:cs="Arial"/>
          <w:sz w:val="22"/>
          <w:szCs w:val="22"/>
        </w:rPr>
        <w:t>Supporting local community groups to tackle crime and anti-social behaviour;</w:t>
      </w:r>
    </w:p>
    <w:p w14:paraId="4A70A4AA" w14:textId="77777777" w:rsidR="003A427A" w:rsidRPr="00B1622F" w:rsidRDefault="003A427A" w:rsidP="008047D5">
      <w:pPr>
        <w:numPr>
          <w:ilvl w:val="0"/>
          <w:numId w:val="3"/>
        </w:numPr>
        <w:spacing w:after="160" w:line="259" w:lineRule="auto"/>
        <w:rPr>
          <w:rFonts w:cs="Arial"/>
          <w:sz w:val="22"/>
          <w:szCs w:val="22"/>
        </w:rPr>
      </w:pPr>
      <w:r w:rsidRPr="00B1622F">
        <w:rPr>
          <w:rFonts w:cs="Arial"/>
          <w:sz w:val="22"/>
          <w:szCs w:val="22"/>
        </w:rPr>
        <w:t>Providing high quality mentoring services to keep Lewisham’s children and young people safe from exploitation, violence and serious youth crime;</w:t>
      </w:r>
    </w:p>
    <w:p w14:paraId="5E69DE74" w14:textId="77777777" w:rsidR="003A427A" w:rsidRPr="00B1622F" w:rsidRDefault="003A427A" w:rsidP="008047D5">
      <w:pPr>
        <w:numPr>
          <w:ilvl w:val="0"/>
          <w:numId w:val="3"/>
        </w:numPr>
        <w:spacing w:after="160" w:line="259" w:lineRule="auto"/>
        <w:rPr>
          <w:rFonts w:cs="Arial"/>
          <w:sz w:val="22"/>
          <w:szCs w:val="22"/>
        </w:rPr>
      </w:pPr>
      <w:r w:rsidRPr="00B1622F">
        <w:rPr>
          <w:rFonts w:cs="Arial"/>
          <w:sz w:val="22"/>
          <w:szCs w:val="22"/>
        </w:rPr>
        <w:t>Supporting people with learning disabilities and/or mental health problems to find employment opportunities;</w:t>
      </w:r>
    </w:p>
    <w:p w14:paraId="1E87FA09" w14:textId="77777777" w:rsidR="003A427A" w:rsidRPr="00B1622F" w:rsidRDefault="003A427A" w:rsidP="008047D5">
      <w:pPr>
        <w:numPr>
          <w:ilvl w:val="0"/>
          <w:numId w:val="3"/>
        </w:numPr>
        <w:spacing w:after="160" w:line="259" w:lineRule="auto"/>
        <w:rPr>
          <w:rFonts w:cs="Arial"/>
          <w:sz w:val="22"/>
          <w:szCs w:val="22"/>
        </w:rPr>
      </w:pPr>
      <w:r w:rsidRPr="00B1622F">
        <w:rPr>
          <w:rFonts w:cs="Arial"/>
          <w:sz w:val="22"/>
          <w:szCs w:val="22"/>
        </w:rPr>
        <w:t>Assisting Lewisham’s COVID-19 recovery by demonstrating a benefit to Lewisham’s communities at a borough wide level.</w:t>
      </w:r>
    </w:p>
    <w:p w14:paraId="618FE257" w14:textId="77777777" w:rsidR="003A427A" w:rsidRPr="00B1622F" w:rsidRDefault="003A427A" w:rsidP="003A427A">
      <w:pPr>
        <w:rPr>
          <w:rFonts w:cs="Arial"/>
          <w:b/>
          <w:bCs/>
          <w:sz w:val="22"/>
          <w:szCs w:val="22"/>
        </w:rPr>
      </w:pPr>
    </w:p>
    <w:p w14:paraId="09F91453" w14:textId="77777777" w:rsidR="00B1622F" w:rsidRDefault="00B1622F">
      <w:pPr>
        <w:rPr>
          <w:rFonts w:cs="Arial"/>
          <w:b/>
          <w:bCs/>
          <w:sz w:val="22"/>
          <w:szCs w:val="22"/>
        </w:rPr>
      </w:pPr>
      <w:r>
        <w:rPr>
          <w:rFonts w:cs="Arial"/>
          <w:b/>
          <w:bCs/>
          <w:sz w:val="22"/>
          <w:szCs w:val="22"/>
        </w:rPr>
        <w:br w:type="page"/>
      </w:r>
    </w:p>
    <w:p w14:paraId="67EB10D9" w14:textId="283EBD83" w:rsidR="003A427A" w:rsidRPr="00B1622F" w:rsidRDefault="003A427A" w:rsidP="003A427A">
      <w:pPr>
        <w:rPr>
          <w:rFonts w:cs="Arial"/>
          <w:sz w:val="22"/>
          <w:szCs w:val="22"/>
        </w:rPr>
      </w:pPr>
      <w:r w:rsidRPr="00B1622F">
        <w:rPr>
          <w:rFonts w:cs="Arial"/>
          <w:b/>
          <w:bCs/>
          <w:sz w:val="22"/>
          <w:szCs w:val="22"/>
        </w:rPr>
        <w:lastRenderedPageBreak/>
        <w:t>Successful projects</w:t>
      </w:r>
    </w:p>
    <w:p w14:paraId="3FF24E97" w14:textId="77777777" w:rsidR="003A427A" w:rsidRPr="00B1622F" w:rsidRDefault="003A427A" w:rsidP="003A427A">
      <w:pPr>
        <w:rPr>
          <w:rFonts w:cs="Arial"/>
          <w:sz w:val="22"/>
          <w:szCs w:val="22"/>
        </w:rPr>
      </w:pPr>
      <w:r w:rsidRPr="00B1622F">
        <w:rPr>
          <w:rFonts w:cs="Arial"/>
          <w:b/>
          <w:bCs/>
          <w:sz w:val="22"/>
          <w:szCs w:val="22"/>
        </w:rPr>
        <w:t>Funding category up to 10k</w:t>
      </w:r>
    </w:p>
    <w:p w14:paraId="4DBDD710" w14:textId="77777777" w:rsidR="003A427A" w:rsidRPr="00B1622F" w:rsidRDefault="003A427A" w:rsidP="008047D5">
      <w:pPr>
        <w:numPr>
          <w:ilvl w:val="0"/>
          <w:numId w:val="4"/>
        </w:numPr>
        <w:spacing w:after="160" w:line="259" w:lineRule="auto"/>
        <w:rPr>
          <w:rFonts w:cs="Arial"/>
          <w:sz w:val="22"/>
          <w:szCs w:val="22"/>
        </w:rPr>
      </w:pPr>
      <w:r w:rsidRPr="00B1622F">
        <w:rPr>
          <w:rFonts w:cs="Arial"/>
          <w:sz w:val="22"/>
          <w:szCs w:val="22"/>
        </w:rPr>
        <w:t>Volunteer Manager - Refugee Café</w:t>
      </w:r>
    </w:p>
    <w:p w14:paraId="06F06359" w14:textId="77777777" w:rsidR="003A427A" w:rsidRPr="00B1622F" w:rsidRDefault="003A427A" w:rsidP="008047D5">
      <w:pPr>
        <w:numPr>
          <w:ilvl w:val="0"/>
          <w:numId w:val="4"/>
        </w:numPr>
        <w:spacing w:after="160" w:line="259" w:lineRule="auto"/>
        <w:rPr>
          <w:rFonts w:cs="Arial"/>
          <w:sz w:val="22"/>
          <w:szCs w:val="22"/>
        </w:rPr>
      </w:pPr>
      <w:r w:rsidRPr="00B1622F">
        <w:rPr>
          <w:rFonts w:cs="Arial"/>
          <w:sz w:val="22"/>
          <w:szCs w:val="22"/>
        </w:rPr>
        <w:t>Project-Based Family Learning Sessions - Oaks and Acorns in Harmony</w:t>
      </w:r>
    </w:p>
    <w:p w14:paraId="4F1FFB56" w14:textId="77777777" w:rsidR="003A427A" w:rsidRPr="00B1622F" w:rsidRDefault="003A427A" w:rsidP="008047D5">
      <w:pPr>
        <w:numPr>
          <w:ilvl w:val="0"/>
          <w:numId w:val="4"/>
        </w:numPr>
        <w:spacing w:after="160" w:line="259" w:lineRule="auto"/>
        <w:rPr>
          <w:rFonts w:cs="Arial"/>
          <w:sz w:val="22"/>
          <w:szCs w:val="22"/>
        </w:rPr>
      </w:pPr>
      <w:r w:rsidRPr="00B1622F">
        <w:rPr>
          <w:rFonts w:cs="Arial"/>
          <w:sz w:val="22"/>
          <w:szCs w:val="22"/>
        </w:rPr>
        <w:t>Budding Buddies - Catbytes C.I.C</w:t>
      </w:r>
    </w:p>
    <w:p w14:paraId="18FA0051" w14:textId="77777777" w:rsidR="003A427A" w:rsidRPr="00B1622F" w:rsidRDefault="003A427A" w:rsidP="008047D5">
      <w:pPr>
        <w:numPr>
          <w:ilvl w:val="0"/>
          <w:numId w:val="4"/>
        </w:numPr>
        <w:spacing w:after="160" w:line="259" w:lineRule="auto"/>
        <w:rPr>
          <w:rFonts w:cs="Arial"/>
          <w:sz w:val="22"/>
          <w:szCs w:val="22"/>
        </w:rPr>
      </w:pPr>
      <w:r w:rsidRPr="00B1622F">
        <w:rPr>
          <w:rFonts w:cs="Arial"/>
          <w:sz w:val="22"/>
          <w:szCs w:val="22"/>
        </w:rPr>
        <w:t>Specialist counselling support and advice for survivors of abuse in the home - One in Four (London)</w:t>
      </w:r>
    </w:p>
    <w:p w14:paraId="49EAD062" w14:textId="77777777" w:rsidR="003A427A" w:rsidRPr="00B1622F" w:rsidRDefault="003A427A" w:rsidP="008047D5">
      <w:pPr>
        <w:numPr>
          <w:ilvl w:val="0"/>
          <w:numId w:val="4"/>
        </w:numPr>
        <w:spacing w:after="160" w:line="259" w:lineRule="auto"/>
        <w:rPr>
          <w:rFonts w:cs="Arial"/>
          <w:sz w:val="22"/>
          <w:szCs w:val="22"/>
        </w:rPr>
      </w:pPr>
      <w:r w:rsidRPr="00B1622F">
        <w:rPr>
          <w:rFonts w:cs="Arial"/>
          <w:sz w:val="22"/>
          <w:szCs w:val="22"/>
        </w:rPr>
        <w:t>Music together - Give a Song</w:t>
      </w:r>
    </w:p>
    <w:p w14:paraId="504918D7" w14:textId="77777777" w:rsidR="003A427A" w:rsidRPr="00B1622F" w:rsidRDefault="003A427A" w:rsidP="008047D5">
      <w:pPr>
        <w:numPr>
          <w:ilvl w:val="0"/>
          <w:numId w:val="4"/>
        </w:numPr>
        <w:spacing w:after="160" w:line="259" w:lineRule="auto"/>
        <w:rPr>
          <w:rFonts w:cs="Arial"/>
          <w:sz w:val="22"/>
          <w:szCs w:val="22"/>
        </w:rPr>
      </w:pPr>
      <w:r w:rsidRPr="00B1622F">
        <w:rPr>
          <w:rFonts w:cs="Arial"/>
          <w:sz w:val="22"/>
          <w:szCs w:val="22"/>
        </w:rPr>
        <w:t>Get Creative Young Lewisham - Inspiring Your Imagination Ltd</w:t>
      </w:r>
    </w:p>
    <w:p w14:paraId="1F4AD6C2" w14:textId="77777777" w:rsidR="003A427A" w:rsidRPr="00B1622F" w:rsidRDefault="003A427A" w:rsidP="008047D5">
      <w:pPr>
        <w:numPr>
          <w:ilvl w:val="0"/>
          <w:numId w:val="4"/>
        </w:numPr>
        <w:spacing w:after="160" w:line="259" w:lineRule="auto"/>
        <w:rPr>
          <w:rFonts w:cs="Arial"/>
          <w:sz w:val="22"/>
          <w:szCs w:val="22"/>
        </w:rPr>
      </w:pPr>
      <w:r w:rsidRPr="00B1622F">
        <w:rPr>
          <w:rFonts w:cs="Arial"/>
          <w:sz w:val="22"/>
          <w:szCs w:val="22"/>
        </w:rPr>
        <w:t>Facework conversations - Facework C.I.C</w:t>
      </w:r>
    </w:p>
    <w:p w14:paraId="151DA479" w14:textId="77777777" w:rsidR="003A427A" w:rsidRPr="00B1622F" w:rsidRDefault="003A427A" w:rsidP="008047D5">
      <w:pPr>
        <w:numPr>
          <w:ilvl w:val="0"/>
          <w:numId w:val="4"/>
        </w:numPr>
        <w:spacing w:after="160" w:line="259" w:lineRule="auto"/>
        <w:rPr>
          <w:rFonts w:cs="Arial"/>
          <w:sz w:val="22"/>
          <w:szCs w:val="22"/>
        </w:rPr>
      </w:pPr>
      <w:r w:rsidRPr="00B1622F">
        <w:rPr>
          <w:rFonts w:cs="Arial"/>
          <w:sz w:val="22"/>
          <w:szCs w:val="22"/>
        </w:rPr>
        <w:t>Fix and ride - Lewisham Cyclists, London Cycling Campaign</w:t>
      </w:r>
    </w:p>
    <w:p w14:paraId="2D3B8130" w14:textId="77777777" w:rsidR="003A427A" w:rsidRPr="00B1622F" w:rsidRDefault="003A427A" w:rsidP="008047D5">
      <w:pPr>
        <w:numPr>
          <w:ilvl w:val="0"/>
          <w:numId w:val="4"/>
        </w:numPr>
        <w:spacing w:after="160" w:line="259" w:lineRule="auto"/>
        <w:rPr>
          <w:rFonts w:cs="Arial"/>
          <w:sz w:val="22"/>
          <w:szCs w:val="22"/>
        </w:rPr>
      </w:pPr>
      <w:r w:rsidRPr="00B1622F">
        <w:rPr>
          <w:rFonts w:cs="Arial"/>
          <w:sz w:val="22"/>
          <w:szCs w:val="22"/>
        </w:rPr>
        <w:t>Buddying Scheme for disabled people - Buddies for All</w:t>
      </w:r>
    </w:p>
    <w:p w14:paraId="5ED7D000" w14:textId="77777777" w:rsidR="003A427A" w:rsidRPr="00B1622F" w:rsidRDefault="003A427A" w:rsidP="003A427A">
      <w:pPr>
        <w:rPr>
          <w:rFonts w:cs="Arial"/>
          <w:sz w:val="22"/>
          <w:szCs w:val="22"/>
        </w:rPr>
      </w:pPr>
      <w:r w:rsidRPr="00B1622F">
        <w:rPr>
          <w:rFonts w:cs="Arial"/>
          <w:b/>
          <w:bCs/>
          <w:sz w:val="22"/>
          <w:szCs w:val="22"/>
        </w:rPr>
        <w:t>Funding category from 10k to 35k</w:t>
      </w:r>
    </w:p>
    <w:p w14:paraId="1853675E" w14:textId="77777777" w:rsidR="003A427A" w:rsidRPr="00B1622F" w:rsidRDefault="003A427A" w:rsidP="008047D5">
      <w:pPr>
        <w:numPr>
          <w:ilvl w:val="0"/>
          <w:numId w:val="5"/>
        </w:numPr>
        <w:spacing w:after="160" w:line="259" w:lineRule="auto"/>
        <w:rPr>
          <w:rFonts w:cs="Arial"/>
          <w:sz w:val="22"/>
          <w:szCs w:val="22"/>
        </w:rPr>
      </w:pPr>
      <w:r w:rsidRPr="00B1622F">
        <w:rPr>
          <w:rFonts w:cs="Arial"/>
          <w:sz w:val="22"/>
          <w:szCs w:val="22"/>
        </w:rPr>
        <w:t>Telephone and Digital Employability Service - Afghanistan and Central Asian Association</w:t>
      </w:r>
    </w:p>
    <w:p w14:paraId="52B1530B" w14:textId="77777777" w:rsidR="003A427A" w:rsidRPr="00B1622F" w:rsidRDefault="003A427A" w:rsidP="008047D5">
      <w:pPr>
        <w:numPr>
          <w:ilvl w:val="0"/>
          <w:numId w:val="5"/>
        </w:numPr>
        <w:spacing w:after="160" w:line="259" w:lineRule="auto"/>
        <w:rPr>
          <w:rFonts w:cs="Arial"/>
          <w:sz w:val="22"/>
          <w:szCs w:val="22"/>
        </w:rPr>
      </w:pPr>
      <w:r w:rsidRPr="00B1622F">
        <w:rPr>
          <w:rFonts w:cs="Arial"/>
          <w:sz w:val="22"/>
          <w:szCs w:val="22"/>
        </w:rPr>
        <w:t>Step Up Progression Training Programme - Lewisham Youth Theatre</w:t>
      </w:r>
    </w:p>
    <w:p w14:paraId="77CBBB4A" w14:textId="77777777" w:rsidR="003A427A" w:rsidRPr="00B1622F" w:rsidRDefault="003A427A" w:rsidP="008047D5">
      <w:pPr>
        <w:numPr>
          <w:ilvl w:val="0"/>
          <w:numId w:val="5"/>
        </w:numPr>
        <w:spacing w:after="160" w:line="259" w:lineRule="auto"/>
        <w:rPr>
          <w:rFonts w:cs="Arial"/>
          <w:sz w:val="22"/>
          <w:szCs w:val="22"/>
        </w:rPr>
      </w:pPr>
      <w:r w:rsidRPr="00B1622F">
        <w:rPr>
          <w:rFonts w:cs="Arial"/>
          <w:sz w:val="22"/>
          <w:szCs w:val="22"/>
        </w:rPr>
        <w:t>Monday project - Lewisham Pensioner Forum</w:t>
      </w:r>
    </w:p>
    <w:p w14:paraId="5DDCEE1B" w14:textId="77777777" w:rsidR="003A427A" w:rsidRPr="00B1622F" w:rsidRDefault="003A427A" w:rsidP="003A427A">
      <w:pPr>
        <w:rPr>
          <w:rFonts w:cs="Arial"/>
          <w:sz w:val="22"/>
          <w:szCs w:val="22"/>
        </w:rPr>
      </w:pPr>
      <w:r w:rsidRPr="00B1622F">
        <w:rPr>
          <w:rFonts w:cs="Arial"/>
          <w:b/>
          <w:bCs/>
          <w:sz w:val="22"/>
          <w:szCs w:val="22"/>
        </w:rPr>
        <w:t>Funding category from 35k to 50k</w:t>
      </w:r>
    </w:p>
    <w:p w14:paraId="7FA7751F" w14:textId="77777777" w:rsidR="003A427A" w:rsidRPr="00B1622F" w:rsidRDefault="003A427A" w:rsidP="008047D5">
      <w:pPr>
        <w:numPr>
          <w:ilvl w:val="0"/>
          <w:numId w:val="6"/>
        </w:numPr>
        <w:spacing w:after="160" w:line="259" w:lineRule="auto"/>
        <w:rPr>
          <w:rFonts w:cs="Arial"/>
          <w:sz w:val="22"/>
          <w:szCs w:val="22"/>
        </w:rPr>
      </w:pPr>
      <w:r w:rsidRPr="00B1622F">
        <w:rPr>
          <w:rFonts w:cs="Arial"/>
          <w:sz w:val="22"/>
          <w:szCs w:val="22"/>
        </w:rPr>
        <w:t>Risk and Resilience - Metro Centre Ltd</w:t>
      </w:r>
    </w:p>
    <w:p w14:paraId="56451501" w14:textId="77777777" w:rsidR="003A427A" w:rsidRPr="00B1622F" w:rsidRDefault="003A427A" w:rsidP="008047D5">
      <w:pPr>
        <w:numPr>
          <w:ilvl w:val="0"/>
          <w:numId w:val="6"/>
        </w:numPr>
        <w:spacing w:after="160" w:line="259" w:lineRule="auto"/>
        <w:rPr>
          <w:rFonts w:cs="Arial"/>
          <w:sz w:val="22"/>
          <w:szCs w:val="22"/>
        </w:rPr>
      </w:pPr>
      <w:r w:rsidRPr="00B1622F">
        <w:rPr>
          <w:rFonts w:cs="Arial"/>
          <w:sz w:val="22"/>
          <w:szCs w:val="22"/>
        </w:rPr>
        <w:t>Covid Recovery Project - Contact</w:t>
      </w:r>
    </w:p>
    <w:p w14:paraId="3343B330" w14:textId="77777777" w:rsidR="003A427A" w:rsidRPr="00B1622F" w:rsidRDefault="003A427A" w:rsidP="008047D5">
      <w:pPr>
        <w:numPr>
          <w:ilvl w:val="0"/>
          <w:numId w:val="6"/>
        </w:numPr>
        <w:spacing w:after="160" w:line="259" w:lineRule="auto"/>
        <w:rPr>
          <w:rFonts w:cs="Arial"/>
          <w:sz w:val="22"/>
          <w:szCs w:val="22"/>
        </w:rPr>
      </w:pPr>
      <w:r w:rsidRPr="00B1622F">
        <w:rPr>
          <w:rFonts w:cs="Arial"/>
          <w:sz w:val="22"/>
          <w:szCs w:val="22"/>
        </w:rPr>
        <w:t>Building People, Changing Minds (Learning Disabilities &amp; Mental Health)- Lewisham Local (RGTB)</w:t>
      </w:r>
    </w:p>
    <w:p w14:paraId="473DFA86" w14:textId="77777777" w:rsidR="003A427A" w:rsidRPr="00B1622F" w:rsidRDefault="003A427A" w:rsidP="008047D5">
      <w:pPr>
        <w:numPr>
          <w:ilvl w:val="0"/>
          <w:numId w:val="6"/>
        </w:numPr>
        <w:spacing w:after="160" w:line="259" w:lineRule="auto"/>
        <w:rPr>
          <w:rFonts w:cs="Arial"/>
          <w:sz w:val="22"/>
          <w:szCs w:val="22"/>
        </w:rPr>
      </w:pPr>
      <w:r w:rsidRPr="00B1622F">
        <w:rPr>
          <w:rFonts w:cs="Arial"/>
          <w:sz w:val="22"/>
          <w:szCs w:val="22"/>
        </w:rPr>
        <w:t>Building People, Changing Minds (Refugees &amp; Migrants) - Lewisham Refugee and Migrant Network</w:t>
      </w:r>
    </w:p>
    <w:p w14:paraId="2FC0C876" w14:textId="77777777" w:rsidR="003A427A" w:rsidRPr="00B1622F" w:rsidRDefault="003A427A" w:rsidP="008047D5">
      <w:pPr>
        <w:numPr>
          <w:ilvl w:val="0"/>
          <w:numId w:val="6"/>
        </w:numPr>
        <w:spacing w:after="160" w:line="259" w:lineRule="auto"/>
        <w:rPr>
          <w:rFonts w:cs="Arial"/>
          <w:sz w:val="22"/>
          <w:szCs w:val="22"/>
        </w:rPr>
      </w:pPr>
      <w:r w:rsidRPr="00B1622F">
        <w:rPr>
          <w:rFonts w:cs="Arial"/>
          <w:sz w:val="22"/>
          <w:szCs w:val="22"/>
        </w:rPr>
        <w:t>Young Lewisham Leaders - Rio Ferdinand Foundation and Grove Park Youth Club BPT</w:t>
      </w:r>
    </w:p>
    <w:p w14:paraId="11D73248" w14:textId="77777777" w:rsidR="003A427A" w:rsidRPr="00B1622F" w:rsidRDefault="003A427A" w:rsidP="008047D5">
      <w:pPr>
        <w:numPr>
          <w:ilvl w:val="0"/>
          <w:numId w:val="6"/>
        </w:numPr>
        <w:spacing w:after="160" w:line="259" w:lineRule="auto"/>
        <w:rPr>
          <w:rFonts w:cs="Arial"/>
          <w:sz w:val="22"/>
          <w:szCs w:val="22"/>
        </w:rPr>
      </w:pPr>
      <w:r w:rsidRPr="00B1622F">
        <w:rPr>
          <w:rFonts w:cs="Arial"/>
          <w:sz w:val="22"/>
          <w:szCs w:val="22"/>
        </w:rPr>
        <w:t>Return to Meet me - Entelechy Arts</w:t>
      </w:r>
    </w:p>
    <w:p w14:paraId="07B0BEB7" w14:textId="77777777" w:rsidR="003A427A" w:rsidRPr="00B1622F" w:rsidRDefault="003A427A" w:rsidP="008047D5">
      <w:pPr>
        <w:numPr>
          <w:ilvl w:val="0"/>
          <w:numId w:val="6"/>
        </w:numPr>
        <w:spacing w:after="160" w:line="259" w:lineRule="auto"/>
        <w:rPr>
          <w:rFonts w:cs="Arial"/>
          <w:sz w:val="22"/>
          <w:szCs w:val="22"/>
        </w:rPr>
      </w:pPr>
      <w:r w:rsidRPr="00B1622F">
        <w:rPr>
          <w:rFonts w:cs="Arial"/>
          <w:sz w:val="22"/>
          <w:szCs w:val="22"/>
        </w:rPr>
        <w:t>Resilient Youth - Second Wave Centre for Youth Arts</w:t>
      </w:r>
    </w:p>
    <w:p w14:paraId="22911BB1" w14:textId="77777777" w:rsidR="003A427A" w:rsidRPr="00B1622F" w:rsidRDefault="003A427A" w:rsidP="008047D5">
      <w:pPr>
        <w:numPr>
          <w:ilvl w:val="0"/>
          <w:numId w:val="6"/>
        </w:numPr>
        <w:spacing w:after="160" w:line="259" w:lineRule="auto"/>
        <w:rPr>
          <w:rFonts w:cs="Arial"/>
          <w:sz w:val="22"/>
          <w:szCs w:val="22"/>
        </w:rPr>
      </w:pPr>
      <w:r w:rsidRPr="00B1622F">
        <w:rPr>
          <w:rFonts w:cs="Arial"/>
          <w:sz w:val="22"/>
          <w:szCs w:val="22"/>
        </w:rPr>
        <w:t>Watergate Sensory Garden – Watergate School and Lewisham Council</w:t>
      </w:r>
    </w:p>
    <w:p w14:paraId="33E02B65" w14:textId="77777777" w:rsidR="003A427A" w:rsidRPr="00B1622F" w:rsidRDefault="003A427A" w:rsidP="008047D5">
      <w:pPr>
        <w:numPr>
          <w:ilvl w:val="0"/>
          <w:numId w:val="6"/>
        </w:numPr>
        <w:spacing w:after="160" w:line="259" w:lineRule="auto"/>
        <w:rPr>
          <w:rFonts w:cs="Arial"/>
          <w:sz w:val="22"/>
          <w:szCs w:val="22"/>
        </w:rPr>
      </w:pPr>
      <w:r w:rsidRPr="00B1622F">
        <w:rPr>
          <w:rFonts w:cs="Arial"/>
          <w:sz w:val="22"/>
          <w:szCs w:val="22"/>
        </w:rPr>
        <w:t>Inclusive Enterprise Generator - Ignition Brewery Ltd</w:t>
      </w:r>
    </w:p>
    <w:p w14:paraId="39ED9038" w14:textId="77777777" w:rsidR="003A427A" w:rsidRPr="00B1622F" w:rsidRDefault="003A427A" w:rsidP="003A427A">
      <w:pPr>
        <w:rPr>
          <w:rFonts w:cs="Arial"/>
          <w:sz w:val="22"/>
          <w:szCs w:val="22"/>
        </w:rPr>
      </w:pPr>
      <w:r w:rsidRPr="00B1622F">
        <w:rPr>
          <w:rFonts w:cs="Arial"/>
          <w:b/>
          <w:bCs/>
          <w:sz w:val="22"/>
          <w:szCs w:val="22"/>
        </w:rPr>
        <w:t>Funding category from 50k to 100k</w:t>
      </w:r>
    </w:p>
    <w:p w14:paraId="69C2759B" w14:textId="77777777" w:rsidR="003A427A" w:rsidRPr="00B1622F" w:rsidRDefault="003A427A" w:rsidP="008047D5">
      <w:pPr>
        <w:numPr>
          <w:ilvl w:val="0"/>
          <w:numId w:val="7"/>
        </w:numPr>
        <w:spacing w:after="160" w:line="259" w:lineRule="auto"/>
        <w:rPr>
          <w:rFonts w:cs="Arial"/>
          <w:sz w:val="22"/>
          <w:szCs w:val="22"/>
        </w:rPr>
      </w:pPr>
      <w:r w:rsidRPr="00B1622F">
        <w:rPr>
          <w:rFonts w:cs="Arial"/>
          <w:sz w:val="22"/>
          <w:szCs w:val="22"/>
        </w:rPr>
        <w:t>Lewisham Line Befriending - Voluntary Services Lewisham</w:t>
      </w:r>
    </w:p>
    <w:p w14:paraId="64269D2A" w14:textId="77777777" w:rsidR="003A427A" w:rsidRPr="00B1622F" w:rsidRDefault="003A427A" w:rsidP="008047D5">
      <w:pPr>
        <w:numPr>
          <w:ilvl w:val="0"/>
          <w:numId w:val="7"/>
        </w:numPr>
        <w:spacing w:after="160" w:line="259" w:lineRule="auto"/>
        <w:rPr>
          <w:rFonts w:cs="Arial"/>
          <w:sz w:val="22"/>
          <w:szCs w:val="22"/>
        </w:rPr>
      </w:pPr>
      <w:r w:rsidRPr="00B1622F">
        <w:rPr>
          <w:rFonts w:cs="Arial"/>
          <w:sz w:val="22"/>
          <w:szCs w:val="22"/>
        </w:rPr>
        <w:t>Pathways to Employment - Sydenham Garden</w:t>
      </w:r>
    </w:p>
    <w:p w14:paraId="386836A4" w14:textId="77777777" w:rsidR="003A427A" w:rsidRPr="00B1622F" w:rsidRDefault="003A427A" w:rsidP="008047D5">
      <w:pPr>
        <w:numPr>
          <w:ilvl w:val="0"/>
          <w:numId w:val="7"/>
        </w:numPr>
        <w:spacing w:after="160" w:line="259" w:lineRule="auto"/>
        <w:rPr>
          <w:rFonts w:cs="Arial"/>
          <w:sz w:val="22"/>
          <w:szCs w:val="22"/>
        </w:rPr>
      </w:pPr>
      <w:r w:rsidRPr="00B1622F">
        <w:rPr>
          <w:rFonts w:cs="Arial"/>
          <w:sz w:val="22"/>
          <w:szCs w:val="22"/>
        </w:rPr>
        <w:t>Lewisham Community Mentoring, Outreach and Detached Service - Spark2life and Greenleaf trust</w:t>
      </w:r>
    </w:p>
    <w:p w14:paraId="19ED2D36" w14:textId="3A864BC2" w:rsidR="00506F24" w:rsidRPr="00B1622F" w:rsidRDefault="003A427A" w:rsidP="008047D5">
      <w:pPr>
        <w:numPr>
          <w:ilvl w:val="0"/>
          <w:numId w:val="7"/>
        </w:numPr>
        <w:spacing w:after="160" w:line="259" w:lineRule="auto"/>
        <w:rPr>
          <w:rFonts w:cs="Arial"/>
          <w:sz w:val="22"/>
          <w:szCs w:val="22"/>
        </w:rPr>
      </w:pPr>
      <w:r w:rsidRPr="00B1622F">
        <w:rPr>
          <w:rFonts w:cs="Arial"/>
          <w:sz w:val="22"/>
          <w:szCs w:val="22"/>
        </w:rPr>
        <w:t>Power the Fight: Therapeutic Intervention for Peace, Lewisham (TIP</w:t>
      </w:r>
      <w:r w:rsidR="00B1622F">
        <w:rPr>
          <w:rFonts w:cs="Arial"/>
          <w:sz w:val="22"/>
          <w:szCs w:val="22"/>
        </w:rPr>
        <w:t>)</w:t>
      </w:r>
    </w:p>
    <w:sectPr w:rsidR="00506F24" w:rsidRPr="00B1622F" w:rsidSect="00A03E4F">
      <w:pgSz w:w="11909" w:h="16834" w:code="9"/>
      <w:pgMar w:top="864" w:right="1800" w:bottom="1440"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8CEA8" w14:textId="77777777" w:rsidR="00333D67" w:rsidRDefault="00333D67">
      <w:r>
        <w:separator/>
      </w:r>
    </w:p>
  </w:endnote>
  <w:endnote w:type="continuationSeparator" w:id="0">
    <w:p w14:paraId="68A7B283" w14:textId="77777777" w:rsidR="00333D67" w:rsidRDefault="00333D67">
      <w:r>
        <w:continuationSeparator/>
      </w:r>
    </w:p>
  </w:endnote>
  <w:endnote w:type="continuationNotice" w:id="1">
    <w:p w14:paraId="1120F48C" w14:textId="77777777" w:rsidR="00333D67" w:rsidRDefault="00333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C201" w14:textId="77777777" w:rsidR="002D7BE3" w:rsidRDefault="002D7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81B4" w14:textId="77777777" w:rsidR="002D7BE3" w:rsidRDefault="002D7BE3" w:rsidP="002D7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3B772" w14:textId="77777777" w:rsidR="00333D67" w:rsidRDefault="00333D67">
      <w:r>
        <w:separator/>
      </w:r>
    </w:p>
  </w:footnote>
  <w:footnote w:type="continuationSeparator" w:id="0">
    <w:p w14:paraId="3A3F37AE" w14:textId="77777777" w:rsidR="00333D67" w:rsidRDefault="00333D67">
      <w:r>
        <w:continuationSeparator/>
      </w:r>
    </w:p>
  </w:footnote>
  <w:footnote w:type="continuationNotice" w:id="1">
    <w:p w14:paraId="2E001F05" w14:textId="77777777" w:rsidR="00333D67" w:rsidRDefault="00333D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5096" w14:textId="77777777" w:rsidR="00333D67" w:rsidRDefault="00333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829"/>
    <w:multiLevelType w:val="multilevel"/>
    <w:tmpl w:val="7B029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320F9"/>
    <w:multiLevelType w:val="multilevel"/>
    <w:tmpl w:val="52A60E16"/>
    <w:lvl w:ilvl="0">
      <w:start w:val="3"/>
      <w:numFmt w:val="decimal"/>
      <w:lvlText w:val="%1."/>
      <w:lvlJc w:val="left"/>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720" w:hanging="720"/>
      </w:pPr>
      <w:rPr>
        <w:rFonts w:hint="default"/>
        <w:b w:val="0"/>
      </w:rPr>
    </w:lvl>
    <w:lvl w:ilvl="3">
      <w:start w:val="1"/>
      <w:numFmt w:val="lowerLetter"/>
      <w:isLgl/>
      <w:lvlText w:val="(%4)"/>
      <w:lvlJc w:val="left"/>
      <w:pPr>
        <w:ind w:left="1440" w:hanging="1080"/>
      </w:pPr>
      <w:rPr>
        <w:rFonts w:ascii="Arial" w:eastAsia="Times New Roman" w:hAnsi="Arial" w:cs="Arial"/>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F146E8"/>
    <w:multiLevelType w:val="multilevel"/>
    <w:tmpl w:val="0086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00578"/>
    <w:multiLevelType w:val="multilevel"/>
    <w:tmpl w:val="769A974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EC92EE0"/>
    <w:multiLevelType w:val="multilevel"/>
    <w:tmpl w:val="1066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F0286"/>
    <w:multiLevelType w:val="multilevel"/>
    <w:tmpl w:val="F7588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EE2DA6"/>
    <w:multiLevelType w:val="multilevel"/>
    <w:tmpl w:val="769A974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96C48DD"/>
    <w:multiLevelType w:val="multilevel"/>
    <w:tmpl w:val="F6C0D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E62627"/>
    <w:multiLevelType w:val="hybridMultilevel"/>
    <w:tmpl w:val="8D3823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AB6C49"/>
    <w:multiLevelType w:val="multilevel"/>
    <w:tmpl w:val="D97E5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24027E"/>
    <w:multiLevelType w:val="hybridMultilevel"/>
    <w:tmpl w:val="9C44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947B42"/>
    <w:multiLevelType w:val="multilevel"/>
    <w:tmpl w:val="769A974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69A7E56"/>
    <w:multiLevelType w:val="hybridMultilevel"/>
    <w:tmpl w:val="033C7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5D1AA9"/>
    <w:multiLevelType w:val="multilevel"/>
    <w:tmpl w:val="07D0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3"/>
  </w:num>
  <w:num w:numId="4">
    <w:abstractNumId w:val="7"/>
  </w:num>
  <w:num w:numId="5">
    <w:abstractNumId w:val="5"/>
  </w:num>
  <w:num w:numId="6">
    <w:abstractNumId w:val="0"/>
  </w:num>
  <w:num w:numId="7">
    <w:abstractNumId w:val="9"/>
  </w:num>
  <w:num w:numId="8">
    <w:abstractNumId w:val="8"/>
  </w:num>
  <w:num w:numId="9">
    <w:abstractNumId w:val="11"/>
  </w:num>
  <w:num w:numId="10">
    <w:abstractNumId w:val="6"/>
  </w:num>
  <w:num w:numId="11">
    <w:abstractNumId w:val="10"/>
  </w:num>
  <w:num w:numId="12">
    <w:abstractNumId w:val="3"/>
  </w:num>
  <w:num w:numId="13">
    <w:abstractNumId w:val="12"/>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00B0"/>
    <w:rsid w:val="00012D45"/>
    <w:rsid w:val="000164D1"/>
    <w:rsid w:val="000168D3"/>
    <w:rsid w:val="00016FBE"/>
    <w:rsid w:val="00020B66"/>
    <w:rsid w:val="0002216B"/>
    <w:rsid w:val="000265B4"/>
    <w:rsid w:val="00026E61"/>
    <w:rsid w:val="00036698"/>
    <w:rsid w:val="00044422"/>
    <w:rsid w:val="00047921"/>
    <w:rsid w:val="0005165B"/>
    <w:rsid w:val="00063133"/>
    <w:rsid w:val="00067121"/>
    <w:rsid w:val="00075332"/>
    <w:rsid w:val="00075E03"/>
    <w:rsid w:val="00091A96"/>
    <w:rsid w:val="000947E9"/>
    <w:rsid w:val="000A3C85"/>
    <w:rsid w:val="000C31CE"/>
    <w:rsid w:val="000C539A"/>
    <w:rsid w:val="000C7140"/>
    <w:rsid w:val="000C740B"/>
    <w:rsid w:val="000D1FB3"/>
    <w:rsid w:val="000D2302"/>
    <w:rsid w:val="000D5D8B"/>
    <w:rsid w:val="000E1217"/>
    <w:rsid w:val="000E1899"/>
    <w:rsid w:val="000E3146"/>
    <w:rsid w:val="000F665E"/>
    <w:rsid w:val="00100D96"/>
    <w:rsid w:val="0010209F"/>
    <w:rsid w:val="001031B2"/>
    <w:rsid w:val="001110A0"/>
    <w:rsid w:val="00115398"/>
    <w:rsid w:val="00115C0B"/>
    <w:rsid w:val="00120211"/>
    <w:rsid w:val="00125D21"/>
    <w:rsid w:val="00125DB2"/>
    <w:rsid w:val="00126553"/>
    <w:rsid w:val="00132D66"/>
    <w:rsid w:val="00132F6D"/>
    <w:rsid w:val="00141BD1"/>
    <w:rsid w:val="00143EE1"/>
    <w:rsid w:val="00150687"/>
    <w:rsid w:val="00150A58"/>
    <w:rsid w:val="00151F53"/>
    <w:rsid w:val="00160D2D"/>
    <w:rsid w:val="00162E86"/>
    <w:rsid w:val="00167ACC"/>
    <w:rsid w:val="0018226F"/>
    <w:rsid w:val="00191840"/>
    <w:rsid w:val="001974FC"/>
    <w:rsid w:val="001A4C6D"/>
    <w:rsid w:val="001B3C1C"/>
    <w:rsid w:val="001C11D9"/>
    <w:rsid w:val="001C2940"/>
    <w:rsid w:val="001D1F6F"/>
    <w:rsid w:val="001E1BCC"/>
    <w:rsid w:val="001E282E"/>
    <w:rsid w:val="001E6379"/>
    <w:rsid w:val="001E6900"/>
    <w:rsid w:val="001F31D6"/>
    <w:rsid w:val="001F6561"/>
    <w:rsid w:val="002034B3"/>
    <w:rsid w:val="0020728F"/>
    <w:rsid w:val="002253B2"/>
    <w:rsid w:val="002257F0"/>
    <w:rsid w:val="00225A40"/>
    <w:rsid w:val="002262E0"/>
    <w:rsid w:val="00227A47"/>
    <w:rsid w:val="00233C95"/>
    <w:rsid w:val="002519A3"/>
    <w:rsid w:val="0025320D"/>
    <w:rsid w:val="002539E9"/>
    <w:rsid w:val="002551E9"/>
    <w:rsid w:val="00255BB6"/>
    <w:rsid w:val="00262A9A"/>
    <w:rsid w:val="00275EC5"/>
    <w:rsid w:val="002771C4"/>
    <w:rsid w:val="00284269"/>
    <w:rsid w:val="00295D26"/>
    <w:rsid w:val="002A143F"/>
    <w:rsid w:val="002A554D"/>
    <w:rsid w:val="002A6EF5"/>
    <w:rsid w:val="002A7085"/>
    <w:rsid w:val="002C1A3E"/>
    <w:rsid w:val="002D0A58"/>
    <w:rsid w:val="002D45D5"/>
    <w:rsid w:val="002D7BE3"/>
    <w:rsid w:val="002E5EBD"/>
    <w:rsid w:val="002E6EE9"/>
    <w:rsid w:val="002F0364"/>
    <w:rsid w:val="002F6052"/>
    <w:rsid w:val="0030129D"/>
    <w:rsid w:val="00301441"/>
    <w:rsid w:val="00313F3C"/>
    <w:rsid w:val="00320298"/>
    <w:rsid w:val="00323250"/>
    <w:rsid w:val="00325215"/>
    <w:rsid w:val="00330CB2"/>
    <w:rsid w:val="00330D6D"/>
    <w:rsid w:val="0033124B"/>
    <w:rsid w:val="00333D67"/>
    <w:rsid w:val="0033517B"/>
    <w:rsid w:val="00335363"/>
    <w:rsid w:val="0034124E"/>
    <w:rsid w:val="0034748A"/>
    <w:rsid w:val="00347AAF"/>
    <w:rsid w:val="00350221"/>
    <w:rsid w:val="00353C54"/>
    <w:rsid w:val="00356159"/>
    <w:rsid w:val="00364AF8"/>
    <w:rsid w:val="003721C8"/>
    <w:rsid w:val="003759A0"/>
    <w:rsid w:val="00377263"/>
    <w:rsid w:val="003817AF"/>
    <w:rsid w:val="0038711C"/>
    <w:rsid w:val="0039332A"/>
    <w:rsid w:val="003A3ADA"/>
    <w:rsid w:val="003A427A"/>
    <w:rsid w:val="003A783B"/>
    <w:rsid w:val="003B2D65"/>
    <w:rsid w:val="003C0FE0"/>
    <w:rsid w:val="003C51CA"/>
    <w:rsid w:val="003C723A"/>
    <w:rsid w:val="003D31C2"/>
    <w:rsid w:val="003D3776"/>
    <w:rsid w:val="003D48C5"/>
    <w:rsid w:val="003D78F6"/>
    <w:rsid w:val="003E424E"/>
    <w:rsid w:val="003F0645"/>
    <w:rsid w:val="003F4A5F"/>
    <w:rsid w:val="003F69A1"/>
    <w:rsid w:val="00402E49"/>
    <w:rsid w:val="00403240"/>
    <w:rsid w:val="00403953"/>
    <w:rsid w:val="0040542E"/>
    <w:rsid w:val="00410C2B"/>
    <w:rsid w:val="00411953"/>
    <w:rsid w:val="00417DB8"/>
    <w:rsid w:val="004260BE"/>
    <w:rsid w:val="00432050"/>
    <w:rsid w:val="00433650"/>
    <w:rsid w:val="004352D7"/>
    <w:rsid w:val="004375B7"/>
    <w:rsid w:val="00437D5C"/>
    <w:rsid w:val="004411E5"/>
    <w:rsid w:val="00446521"/>
    <w:rsid w:val="00446B16"/>
    <w:rsid w:val="00447899"/>
    <w:rsid w:val="00455564"/>
    <w:rsid w:val="00462114"/>
    <w:rsid w:val="00463669"/>
    <w:rsid w:val="004750DD"/>
    <w:rsid w:val="00484E6C"/>
    <w:rsid w:val="00486170"/>
    <w:rsid w:val="0049070E"/>
    <w:rsid w:val="00496871"/>
    <w:rsid w:val="004978FD"/>
    <w:rsid w:val="004979A0"/>
    <w:rsid w:val="004A14F7"/>
    <w:rsid w:val="004A27B7"/>
    <w:rsid w:val="004A2CFB"/>
    <w:rsid w:val="004A69BA"/>
    <w:rsid w:val="004B048B"/>
    <w:rsid w:val="004B722C"/>
    <w:rsid w:val="004B761A"/>
    <w:rsid w:val="004C4417"/>
    <w:rsid w:val="004C4DC2"/>
    <w:rsid w:val="004C5899"/>
    <w:rsid w:val="004C7617"/>
    <w:rsid w:val="004D3C27"/>
    <w:rsid w:val="004D744C"/>
    <w:rsid w:val="004D74E7"/>
    <w:rsid w:val="004E03BB"/>
    <w:rsid w:val="004E4261"/>
    <w:rsid w:val="004E7169"/>
    <w:rsid w:val="004F1364"/>
    <w:rsid w:val="004F4D83"/>
    <w:rsid w:val="004F55B7"/>
    <w:rsid w:val="00506F24"/>
    <w:rsid w:val="00510CB5"/>
    <w:rsid w:val="00512DBC"/>
    <w:rsid w:val="0051444D"/>
    <w:rsid w:val="005145C4"/>
    <w:rsid w:val="005200DF"/>
    <w:rsid w:val="005235C6"/>
    <w:rsid w:val="00524548"/>
    <w:rsid w:val="00526BC8"/>
    <w:rsid w:val="00527689"/>
    <w:rsid w:val="005337B2"/>
    <w:rsid w:val="005365FF"/>
    <w:rsid w:val="005406DF"/>
    <w:rsid w:val="00540E5F"/>
    <w:rsid w:val="005441BD"/>
    <w:rsid w:val="0054587F"/>
    <w:rsid w:val="00552A3A"/>
    <w:rsid w:val="00555462"/>
    <w:rsid w:val="0056035B"/>
    <w:rsid w:val="00561335"/>
    <w:rsid w:val="00565775"/>
    <w:rsid w:val="005673E9"/>
    <w:rsid w:val="00571C4A"/>
    <w:rsid w:val="00571D3D"/>
    <w:rsid w:val="0057438D"/>
    <w:rsid w:val="00577F59"/>
    <w:rsid w:val="00581A7E"/>
    <w:rsid w:val="005821C1"/>
    <w:rsid w:val="00587227"/>
    <w:rsid w:val="005920D8"/>
    <w:rsid w:val="00594253"/>
    <w:rsid w:val="005961BE"/>
    <w:rsid w:val="005B2F47"/>
    <w:rsid w:val="005B6C26"/>
    <w:rsid w:val="005B712A"/>
    <w:rsid w:val="005C1159"/>
    <w:rsid w:val="005C49A2"/>
    <w:rsid w:val="005C5F36"/>
    <w:rsid w:val="005D0050"/>
    <w:rsid w:val="005D32A4"/>
    <w:rsid w:val="005E3B51"/>
    <w:rsid w:val="005E3FF3"/>
    <w:rsid w:val="005F0D0D"/>
    <w:rsid w:val="005F5698"/>
    <w:rsid w:val="00602CE7"/>
    <w:rsid w:val="00604354"/>
    <w:rsid w:val="0060678B"/>
    <w:rsid w:val="00612A64"/>
    <w:rsid w:val="0061476F"/>
    <w:rsid w:val="00617477"/>
    <w:rsid w:val="00617F63"/>
    <w:rsid w:val="006218AC"/>
    <w:rsid w:val="006230C3"/>
    <w:rsid w:val="0064138B"/>
    <w:rsid w:val="0064262B"/>
    <w:rsid w:val="00650699"/>
    <w:rsid w:val="00650DAC"/>
    <w:rsid w:val="00654E57"/>
    <w:rsid w:val="0065554E"/>
    <w:rsid w:val="00656C6A"/>
    <w:rsid w:val="00665A12"/>
    <w:rsid w:val="006668DA"/>
    <w:rsid w:val="00674F13"/>
    <w:rsid w:val="00676363"/>
    <w:rsid w:val="006836F3"/>
    <w:rsid w:val="006843EC"/>
    <w:rsid w:val="00697A35"/>
    <w:rsid w:val="006A055D"/>
    <w:rsid w:val="006B5F35"/>
    <w:rsid w:val="006C270F"/>
    <w:rsid w:val="006C3876"/>
    <w:rsid w:val="006C44D8"/>
    <w:rsid w:val="006C484D"/>
    <w:rsid w:val="006D30F7"/>
    <w:rsid w:val="006D482D"/>
    <w:rsid w:val="006E4962"/>
    <w:rsid w:val="006E612A"/>
    <w:rsid w:val="006E692F"/>
    <w:rsid w:val="006E7B8D"/>
    <w:rsid w:val="006F2C19"/>
    <w:rsid w:val="006F7F1D"/>
    <w:rsid w:val="00700D3A"/>
    <w:rsid w:val="007024D1"/>
    <w:rsid w:val="0070496A"/>
    <w:rsid w:val="00705916"/>
    <w:rsid w:val="007107DE"/>
    <w:rsid w:val="00711754"/>
    <w:rsid w:val="00712A62"/>
    <w:rsid w:val="00713DA0"/>
    <w:rsid w:val="0071525F"/>
    <w:rsid w:val="00716747"/>
    <w:rsid w:val="00720786"/>
    <w:rsid w:val="007210E3"/>
    <w:rsid w:val="00722A31"/>
    <w:rsid w:val="00723B64"/>
    <w:rsid w:val="00727A68"/>
    <w:rsid w:val="00730223"/>
    <w:rsid w:val="00732D3F"/>
    <w:rsid w:val="007344F4"/>
    <w:rsid w:val="007367CF"/>
    <w:rsid w:val="007411F2"/>
    <w:rsid w:val="0074406B"/>
    <w:rsid w:val="007447DB"/>
    <w:rsid w:val="00744A1A"/>
    <w:rsid w:val="0076359F"/>
    <w:rsid w:val="007713A1"/>
    <w:rsid w:val="0077173C"/>
    <w:rsid w:val="00776C06"/>
    <w:rsid w:val="00780B14"/>
    <w:rsid w:val="00785B8B"/>
    <w:rsid w:val="007912CC"/>
    <w:rsid w:val="00796B41"/>
    <w:rsid w:val="00796C71"/>
    <w:rsid w:val="007979A8"/>
    <w:rsid w:val="007A012E"/>
    <w:rsid w:val="007A216A"/>
    <w:rsid w:val="007A2834"/>
    <w:rsid w:val="007B0108"/>
    <w:rsid w:val="007B1514"/>
    <w:rsid w:val="007B5415"/>
    <w:rsid w:val="007B6F2E"/>
    <w:rsid w:val="007C03CF"/>
    <w:rsid w:val="007C293B"/>
    <w:rsid w:val="007D1ACF"/>
    <w:rsid w:val="007D1C96"/>
    <w:rsid w:val="007D75D7"/>
    <w:rsid w:val="007D7E0B"/>
    <w:rsid w:val="007E2951"/>
    <w:rsid w:val="007E3F35"/>
    <w:rsid w:val="007F43D5"/>
    <w:rsid w:val="00800724"/>
    <w:rsid w:val="008025C7"/>
    <w:rsid w:val="008047D5"/>
    <w:rsid w:val="00806243"/>
    <w:rsid w:val="0081122B"/>
    <w:rsid w:val="0081262D"/>
    <w:rsid w:val="00813D86"/>
    <w:rsid w:val="00814DCD"/>
    <w:rsid w:val="008233E6"/>
    <w:rsid w:val="00825002"/>
    <w:rsid w:val="008274AB"/>
    <w:rsid w:val="0083053D"/>
    <w:rsid w:val="008372B8"/>
    <w:rsid w:val="00840775"/>
    <w:rsid w:val="0084137B"/>
    <w:rsid w:val="00841A0F"/>
    <w:rsid w:val="00841A37"/>
    <w:rsid w:val="008429B6"/>
    <w:rsid w:val="00845AAB"/>
    <w:rsid w:val="00845DBB"/>
    <w:rsid w:val="008531E5"/>
    <w:rsid w:val="00853B43"/>
    <w:rsid w:val="0086473D"/>
    <w:rsid w:val="00865FC9"/>
    <w:rsid w:val="00874BD7"/>
    <w:rsid w:val="00876B44"/>
    <w:rsid w:val="00876CE3"/>
    <w:rsid w:val="008779ED"/>
    <w:rsid w:val="00887F17"/>
    <w:rsid w:val="00894FDB"/>
    <w:rsid w:val="00895BE7"/>
    <w:rsid w:val="008A408B"/>
    <w:rsid w:val="008A4604"/>
    <w:rsid w:val="008A63AD"/>
    <w:rsid w:val="008B40F0"/>
    <w:rsid w:val="008C2FC9"/>
    <w:rsid w:val="008D0B76"/>
    <w:rsid w:val="008D5361"/>
    <w:rsid w:val="008E0BB3"/>
    <w:rsid w:val="008F1A15"/>
    <w:rsid w:val="009004D0"/>
    <w:rsid w:val="00906C09"/>
    <w:rsid w:val="00913608"/>
    <w:rsid w:val="00915FD6"/>
    <w:rsid w:val="00916A28"/>
    <w:rsid w:val="009238B6"/>
    <w:rsid w:val="009263F0"/>
    <w:rsid w:val="00930DEB"/>
    <w:rsid w:val="00931B9F"/>
    <w:rsid w:val="009332EF"/>
    <w:rsid w:val="00935CDD"/>
    <w:rsid w:val="0094248C"/>
    <w:rsid w:val="0094772F"/>
    <w:rsid w:val="00947B68"/>
    <w:rsid w:val="00953767"/>
    <w:rsid w:val="00953A14"/>
    <w:rsid w:val="009559B1"/>
    <w:rsid w:val="00964BD0"/>
    <w:rsid w:val="009670A0"/>
    <w:rsid w:val="00974C39"/>
    <w:rsid w:val="009761ED"/>
    <w:rsid w:val="009770C2"/>
    <w:rsid w:val="00987B99"/>
    <w:rsid w:val="0099076B"/>
    <w:rsid w:val="00994D12"/>
    <w:rsid w:val="009A07A8"/>
    <w:rsid w:val="009B509D"/>
    <w:rsid w:val="009B6A6D"/>
    <w:rsid w:val="009C069E"/>
    <w:rsid w:val="009D56DA"/>
    <w:rsid w:val="009E09BF"/>
    <w:rsid w:val="009E302F"/>
    <w:rsid w:val="009E581D"/>
    <w:rsid w:val="009E7398"/>
    <w:rsid w:val="009E76B1"/>
    <w:rsid w:val="009F14C8"/>
    <w:rsid w:val="009F71DA"/>
    <w:rsid w:val="009F74CF"/>
    <w:rsid w:val="00A03D6A"/>
    <w:rsid w:val="00A03E4F"/>
    <w:rsid w:val="00A1308D"/>
    <w:rsid w:val="00A137E7"/>
    <w:rsid w:val="00A2102D"/>
    <w:rsid w:val="00A2454D"/>
    <w:rsid w:val="00A24E62"/>
    <w:rsid w:val="00A25431"/>
    <w:rsid w:val="00A274AC"/>
    <w:rsid w:val="00A37385"/>
    <w:rsid w:val="00A406F3"/>
    <w:rsid w:val="00A42A33"/>
    <w:rsid w:val="00A440D6"/>
    <w:rsid w:val="00A501C7"/>
    <w:rsid w:val="00A51CC2"/>
    <w:rsid w:val="00A51F54"/>
    <w:rsid w:val="00A5613C"/>
    <w:rsid w:val="00A56C02"/>
    <w:rsid w:val="00A60405"/>
    <w:rsid w:val="00A66832"/>
    <w:rsid w:val="00A7746C"/>
    <w:rsid w:val="00A77A83"/>
    <w:rsid w:val="00A80F10"/>
    <w:rsid w:val="00A86A01"/>
    <w:rsid w:val="00A8720B"/>
    <w:rsid w:val="00A960CC"/>
    <w:rsid w:val="00A971A4"/>
    <w:rsid w:val="00AA3136"/>
    <w:rsid w:val="00AA3409"/>
    <w:rsid w:val="00AA368F"/>
    <w:rsid w:val="00AA4678"/>
    <w:rsid w:val="00AA7C24"/>
    <w:rsid w:val="00AB28BD"/>
    <w:rsid w:val="00AB2A8D"/>
    <w:rsid w:val="00AC0139"/>
    <w:rsid w:val="00AC2E3A"/>
    <w:rsid w:val="00AC53CC"/>
    <w:rsid w:val="00AD687C"/>
    <w:rsid w:val="00AE0D86"/>
    <w:rsid w:val="00AE1385"/>
    <w:rsid w:val="00AE3FEB"/>
    <w:rsid w:val="00AE452B"/>
    <w:rsid w:val="00AE6551"/>
    <w:rsid w:val="00AF0216"/>
    <w:rsid w:val="00AF34A1"/>
    <w:rsid w:val="00AF5923"/>
    <w:rsid w:val="00B002CB"/>
    <w:rsid w:val="00B04452"/>
    <w:rsid w:val="00B11034"/>
    <w:rsid w:val="00B13530"/>
    <w:rsid w:val="00B1622F"/>
    <w:rsid w:val="00B168BC"/>
    <w:rsid w:val="00B21131"/>
    <w:rsid w:val="00B26D5D"/>
    <w:rsid w:val="00B2745B"/>
    <w:rsid w:val="00B40310"/>
    <w:rsid w:val="00B43190"/>
    <w:rsid w:val="00B44E2F"/>
    <w:rsid w:val="00B47A70"/>
    <w:rsid w:val="00B52F9B"/>
    <w:rsid w:val="00B5672C"/>
    <w:rsid w:val="00B602B7"/>
    <w:rsid w:val="00B62E94"/>
    <w:rsid w:val="00B65EB5"/>
    <w:rsid w:val="00B66D7C"/>
    <w:rsid w:val="00B70AD4"/>
    <w:rsid w:val="00B767CF"/>
    <w:rsid w:val="00B8169D"/>
    <w:rsid w:val="00B820A7"/>
    <w:rsid w:val="00B82309"/>
    <w:rsid w:val="00B8374D"/>
    <w:rsid w:val="00B85A69"/>
    <w:rsid w:val="00B9153F"/>
    <w:rsid w:val="00B9469E"/>
    <w:rsid w:val="00B95470"/>
    <w:rsid w:val="00BA1943"/>
    <w:rsid w:val="00BB11F0"/>
    <w:rsid w:val="00BB1D6B"/>
    <w:rsid w:val="00BB72F9"/>
    <w:rsid w:val="00BB7DD3"/>
    <w:rsid w:val="00BC0364"/>
    <w:rsid w:val="00BC043A"/>
    <w:rsid w:val="00BC095D"/>
    <w:rsid w:val="00BC17E1"/>
    <w:rsid w:val="00BC1CC7"/>
    <w:rsid w:val="00BC24FF"/>
    <w:rsid w:val="00BD32A1"/>
    <w:rsid w:val="00BD7FB1"/>
    <w:rsid w:val="00C03343"/>
    <w:rsid w:val="00C056C7"/>
    <w:rsid w:val="00C07F05"/>
    <w:rsid w:val="00C22997"/>
    <w:rsid w:val="00C25118"/>
    <w:rsid w:val="00C257D1"/>
    <w:rsid w:val="00C316E9"/>
    <w:rsid w:val="00C3237A"/>
    <w:rsid w:val="00C33714"/>
    <w:rsid w:val="00C37118"/>
    <w:rsid w:val="00C4117C"/>
    <w:rsid w:val="00C42B33"/>
    <w:rsid w:val="00C473F5"/>
    <w:rsid w:val="00C478CE"/>
    <w:rsid w:val="00C51F8E"/>
    <w:rsid w:val="00C536FB"/>
    <w:rsid w:val="00C55590"/>
    <w:rsid w:val="00C57E18"/>
    <w:rsid w:val="00C60CCA"/>
    <w:rsid w:val="00C63334"/>
    <w:rsid w:val="00C63A11"/>
    <w:rsid w:val="00C63F0B"/>
    <w:rsid w:val="00C674CF"/>
    <w:rsid w:val="00C71597"/>
    <w:rsid w:val="00C86B0D"/>
    <w:rsid w:val="00C928FC"/>
    <w:rsid w:val="00C95815"/>
    <w:rsid w:val="00CA1C69"/>
    <w:rsid w:val="00CA233D"/>
    <w:rsid w:val="00CB2154"/>
    <w:rsid w:val="00CB26C1"/>
    <w:rsid w:val="00CB390F"/>
    <w:rsid w:val="00CC306F"/>
    <w:rsid w:val="00CD16E4"/>
    <w:rsid w:val="00CD3CC4"/>
    <w:rsid w:val="00CE731D"/>
    <w:rsid w:val="00CE76B5"/>
    <w:rsid w:val="00CF1F44"/>
    <w:rsid w:val="00CF749B"/>
    <w:rsid w:val="00D019B0"/>
    <w:rsid w:val="00D02A0F"/>
    <w:rsid w:val="00D10689"/>
    <w:rsid w:val="00D107B2"/>
    <w:rsid w:val="00D13D6A"/>
    <w:rsid w:val="00D24A20"/>
    <w:rsid w:val="00D27689"/>
    <w:rsid w:val="00D27D5B"/>
    <w:rsid w:val="00D33AE8"/>
    <w:rsid w:val="00D44455"/>
    <w:rsid w:val="00D54435"/>
    <w:rsid w:val="00D544B9"/>
    <w:rsid w:val="00D56FA1"/>
    <w:rsid w:val="00D60B09"/>
    <w:rsid w:val="00D612D2"/>
    <w:rsid w:val="00D67B11"/>
    <w:rsid w:val="00D72103"/>
    <w:rsid w:val="00D72B0E"/>
    <w:rsid w:val="00D7413D"/>
    <w:rsid w:val="00D74863"/>
    <w:rsid w:val="00D763C0"/>
    <w:rsid w:val="00D76D1E"/>
    <w:rsid w:val="00D77C85"/>
    <w:rsid w:val="00D830F3"/>
    <w:rsid w:val="00D8409F"/>
    <w:rsid w:val="00D851AE"/>
    <w:rsid w:val="00D85E65"/>
    <w:rsid w:val="00D87F2B"/>
    <w:rsid w:val="00D90CC0"/>
    <w:rsid w:val="00D938FA"/>
    <w:rsid w:val="00DA0EC2"/>
    <w:rsid w:val="00DB16C4"/>
    <w:rsid w:val="00DB1857"/>
    <w:rsid w:val="00DB1AB3"/>
    <w:rsid w:val="00DB47FF"/>
    <w:rsid w:val="00DD33D7"/>
    <w:rsid w:val="00DD496D"/>
    <w:rsid w:val="00DE17B1"/>
    <w:rsid w:val="00DE17C5"/>
    <w:rsid w:val="00DE2D56"/>
    <w:rsid w:val="00DE6CC7"/>
    <w:rsid w:val="00DF17F8"/>
    <w:rsid w:val="00DF4690"/>
    <w:rsid w:val="00DF63A8"/>
    <w:rsid w:val="00DF7416"/>
    <w:rsid w:val="00DF798B"/>
    <w:rsid w:val="00E02BC8"/>
    <w:rsid w:val="00E03BF4"/>
    <w:rsid w:val="00E07025"/>
    <w:rsid w:val="00E07B9C"/>
    <w:rsid w:val="00E10316"/>
    <w:rsid w:val="00E14624"/>
    <w:rsid w:val="00E15A47"/>
    <w:rsid w:val="00E24686"/>
    <w:rsid w:val="00E273E0"/>
    <w:rsid w:val="00E27CA9"/>
    <w:rsid w:val="00E3214C"/>
    <w:rsid w:val="00E3391B"/>
    <w:rsid w:val="00E37C3B"/>
    <w:rsid w:val="00E41F17"/>
    <w:rsid w:val="00E432F6"/>
    <w:rsid w:val="00E43A32"/>
    <w:rsid w:val="00E446E9"/>
    <w:rsid w:val="00E456CF"/>
    <w:rsid w:val="00E55EF4"/>
    <w:rsid w:val="00E60A5C"/>
    <w:rsid w:val="00E66A62"/>
    <w:rsid w:val="00E675AB"/>
    <w:rsid w:val="00E71FD8"/>
    <w:rsid w:val="00E7656A"/>
    <w:rsid w:val="00E82DD8"/>
    <w:rsid w:val="00E90342"/>
    <w:rsid w:val="00E91983"/>
    <w:rsid w:val="00E94EED"/>
    <w:rsid w:val="00E95DFE"/>
    <w:rsid w:val="00EA5A6D"/>
    <w:rsid w:val="00EA5CE4"/>
    <w:rsid w:val="00EB29F5"/>
    <w:rsid w:val="00EC4F3D"/>
    <w:rsid w:val="00ED5602"/>
    <w:rsid w:val="00ED583F"/>
    <w:rsid w:val="00EE1055"/>
    <w:rsid w:val="00EE2ED5"/>
    <w:rsid w:val="00EE41E3"/>
    <w:rsid w:val="00EE7076"/>
    <w:rsid w:val="00EF39F3"/>
    <w:rsid w:val="00EF3F24"/>
    <w:rsid w:val="00EF43C1"/>
    <w:rsid w:val="00F025A8"/>
    <w:rsid w:val="00F03117"/>
    <w:rsid w:val="00F0586B"/>
    <w:rsid w:val="00F07F90"/>
    <w:rsid w:val="00F2650A"/>
    <w:rsid w:val="00F3431C"/>
    <w:rsid w:val="00F40611"/>
    <w:rsid w:val="00F46E4F"/>
    <w:rsid w:val="00F471FD"/>
    <w:rsid w:val="00F56866"/>
    <w:rsid w:val="00F57B0C"/>
    <w:rsid w:val="00F62788"/>
    <w:rsid w:val="00F6351A"/>
    <w:rsid w:val="00F646BD"/>
    <w:rsid w:val="00F6557E"/>
    <w:rsid w:val="00F67205"/>
    <w:rsid w:val="00F73BD1"/>
    <w:rsid w:val="00F73E44"/>
    <w:rsid w:val="00F74EB8"/>
    <w:rsid w:val="00F76069"/>
    <w:rsid w:val="00F76A77"/>
    <w:rsid w:val="00F777A7"/>
    <w:rsid w:val="00F83244"/>
    <w:rsid w:val="00F86F22"/>
    <w:rsid w:val="00F91233"/>
    <w:rsid w:val="00F9251B"/>
    <w:rsid w:val="00F94D39"/>
    <w:rsid w:val="00F97003"/>
    <w:rsid w:val="00FA1885"/>
    <w:rsid w:val="00FA4610"/>
    <w:rsid w:val="00FA47BD"/>
    <w:rsid w:val="00FC0BCF"/>
    <w:rsid w:val="00FC2AC3"/>
    <w:rsid w:val="00FC6000"/>
    <w:rsid w:val="00FC6BA3"/>
    <w:rsid w:val="00FD057B"/>
    <w:rsid w:val="00FE201A"/>
    <w:rsid w:val="00FE2F64"/>
    <w:rsid w:val="00FE3F99"/>
    <w:rsid w:val="00FE4B4E"/>
    <w:rsid w:val="00FF6EDA"/>
    <w:rsid w:val="00FF777A"/>
    <w:rsid w:val="00FF7921"/>
    <w:rsid w:val="078409D7"/>
    <w:rsid w:val="0BFE8468"/>
    <w:rsid w:val="0C95A15E"/>
    <w:rsid w:val="1645845D"/>
    <w:rsid w:val="19893B6B"/>
    <w:rsid w:val="2B6C4746"/>
    <w:rsid w:val="32CAFEBE"/>
    <w:rsid w:val="36C17FBE"/>
    <w:rsid w:val="44463981"/>
    <w:rsid w:val="49B219C5"/>
    <w:rsid w:val="4A93A906"/>
    <w:rsid w:val="4C439449"/>
    <w:rsid w:val="595D1A15"/>
    <w:rsid w:val="5BDDD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C3E243"/>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link w:val="Heading1Char"/>
    <w:qFormat/>
    <w:rsid w:val="005337B2"/>
    <w:pPr>
      <w:outlineLvl w:val="0"/>
    </w:pPr>
    <w:rPr>
      <w:b w:val="0"/>
      <w:sz w:val="36"/>
    </w:rPr>
  </w:style>
  <w:style w:type="paragraph" w:styleId="Heading2">
    <w:name w:val="heading 2"/>
    <w:basedOn w:val="Normal"/>
    <w:next w:val="Normal"/>
    <w:link w:val="Heading2Char"/>
    <w:qFormat/>
    <w:rsid w:val="005337B2"/>
    <w:pPr>
      <w:outlineLvl w:val="1"/>
    </w:pPr>
    <w:rPr>
      <w:rFonts w:ascii="Arial Black" w:hAnsi="Arial Black" w:cs="Arial"/>
      <w:b/>
      <w:bCs/>
      <w:sz w:val="32"/>
      <w:szCs w:val="32"/>
    </w:rPr>
  </w:style>
  <w:style w:type="paragraph" w:styleId="Heading3">
    <w:name w:val="heading 3"/>
    <w:basedOn w:val="Normal"/>
    <w:next w:val="Normal"/>
    <w:qFormat/>
    <w:rsid w:val="001F31D6"/>
    <w:pPr>
      <w:ind w:left="720" w:hanging="720"/>
      <w:jc w:val="both"/>
      <w:outlineLvl w:val="2"/>
    </w:pPr>
    <w:rPr>
      <w:rFonts w:cs="Arial"/>
      <w:b/>
      <w:bCs/>
      <w:sz w:val="28"/>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61"/>
    <w:rPr>
      <w:color w:val="0000FF"/>
      <w:u w:val="single"/>
    </w:rPr>
  </w:style>
  <w:style w:type="paragraph" w:styleId="FootnoteText">
    <w:name w:val="footnote text"/>
    <w:basedOn w:val="Normal"/>
    <w:semiHidden/>
    <w:rsid w:val="000D5D8B"/>
    <w:rPr>
      <w:rFonts w:ascii="Times New Roman" w:hAnsi="Times New Roman"/>
      <w:sz w:val="20"/>
    </w:rPr>
  </w:style>
  <w:style w:type="paragraph" w:styleId="NormalWeb">
    <w:name w:val="Normal (Web)"/>
    <w:basedOn w:val="Normal"/>
    <w:semiHidden/>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uiPriority w:val="34"/>
    <w:qFormat/>
    <w:rsid w:val="002D7BE3"/>
    <w:pPr>
      <w:ind w:left="720"/>
    </w:pPr>
    <w:rPr>
      <w:rFonts w:eastAsia="Calibri" w:cs="Arial"/>
      <w:color w:val="000000"/>
      <w:sz w:val="22"/>
      <w:szCs w:val="22"/>
      <w:lang w:eastAsia="en-GB"/>
    </w:rPr>
  </w:style>
  <w:style w:type="character" w:styleId="UnresolvedMention">
    <w:name w:val="Unresolved Mention"/>
    <w:basedOn w:val="DefaultParagraphFont"/>
    <w:uiPriority w:val="99"/>
    <w:semiHidden/>
    <w:unhideWhenUsed/>
    <w:rsid w:val="009670A0"/>
    <w:rPr>
      <w:color w:val="605E5C"/>
      <w:shd w:val="clear" w:color="auto" w:fill="E1DFDD"/>
    </w:rPr>
  </w:style>
  <w:style w:type="paragraph" w:customStyle="1" w:styleId="paragraph">
    <w:name w:val="paragraph"/>
    <w:basedOn w:val="Normal"/>
    <w:rsid w:val="00167ACC"/>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167ACC"/>
  </w:style>
  <w:style w:type="character" w:customStyle="1" w:styleId="eop">
    <w:name w:val="eop"/>
    <w:basedOn w:val="DefaultParagraphFont"/>
    <w:rsid w:val="00167ACC"/>
  </w:style>
  <w:style w:type="character" w:styleId="CommentReference">
    <w:name w:val="annotation reference"/>
    <w:basedOn w:val="DefaultParagraphFont"/>
    <w:semiHidden/>
    <w:unhideWhenUsed/>
    <w:rsid w:val="003817AF"/>
    <w:rPr>
      <w:sz w:val="16"/>
      <w:szCs w:val="16"/>
    </w:rPr>
  </w:style>
  <w:style w:type="paragraph" w:styleId="CommentText">
    <w:name w:val="annotation text"/>
    <w:basedOn w:val="Normal"/>
    <w:link w:val="CommentTextChar"/>
    <w:semiHidden/>
    <w:unhideWhenUsed/>
    <w:rsid w:val="003817AF"/>
    <w:rPr>
      <w:sz w:val="20"/>
    </w:rPr>
  </w:style>
  <w:style w:type="character" w:customStyle="1" w:styleId="CommentTextChar">
    <w:name w:val="Comment Text Char"/>
    <w:basedOn w:val="DefaultParagraphFont"/>
    <w:link w:val="CommentText"/>
    <w:semiHidden/>
    <w:rsid w:val="003817A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817AF"/>
    <w:rPr>
      <w:b/>
      <w:bCs/>
    </w:rPr>
  </w:style>
  <w:style w:type="character" w:customStyle="1" w:styleId="CommentSubjectChar">
    <w:name w:val="Comment Subject Char"/>
    <w:basedOn w:val="CommentTextChar"/>
    <w:link w:val="CommentSubject"/>
    <w:uiPriority w:val="99"/>
    <w:semiHidden/>
    <w:rsid w:val="003817AF"/>
    <w:rPr>
      <w:rFonts w:ascii="Arial" w:hAnsi="Arial"/>
      <w:b/>
      <w:bCs/>
      <w:lang w:eastAsia="en-US"/>
    </w:rPr>
  </w:style>
  <w:style w:type="character" w:customStyle="1" w:styleId="FooterChar">
    <w:name w:val="Footer Char"/>
    <w:basedOn w:val="DefaultParagraphFont"/>
    <w:link w:val="Footer"/>
    <w:rsid w:val="00711754"/>
    <w:rPr>
      <w:rFonts w:ascii="Arial" w:hAnsi="Arial"/>
      <w:sz w:val="24"/>
      <w:szCs w:val="24"/>
      <w:lang w:val="en-US" w:eastAsia="en-US"/>
    </w:rPr>
  </w:style>
  <w:style w:type="character" w:customStyle="1" w:styleId="Heading1Char">
    <w:name w:val="Heading 1 Char"/>
    <w:basedOn w:val="DefaultParagraphFont"/>
    <w:link w:val="Heading1"/>
    <w:rsid w:val="007E2951"/>
    <w:rPr>
      <w:rFonts w:ascii="Arial Black" w:hAnsi="Arial Black" w:cs="Arial"/>
      <w:bCs/>
      <w:sz w:val="36"/>
      <w:szCs w:val="32"/>
      <w:lang w:eastAsia="en-US"/>
    </w:rPr>
  </w:style>
  <w:style w:type="character" w:customStyle="1" w:styleId="Heading2Char">
    <w:name w:val="Heading 2 Char"/>
    <w:basedOn w:val="DefaultParagraphFont"/>
    <w:link w:val="Heading2"/>
    <w:rsid w:val="007E2951"/>
    <w:rPr>
      <w:rFonts w:ascii="Arial Black" w:hAnsi="Arial Black" w:cs="Arial"/>
      <w:b/>
      <w:bCs/>
      <w:sz w:val="32"/>
      <w:szCs w:val="32"/>
      <w:lang w:eastAsia="en-US"/>
    </w:rPr>
  </w:style>
  <w:style w:type="character" w:styleId="FollowedHyperlink">
    <w:name w:val="FollowedHyperlink"/>
    <w:basedOn w:val="DefaultParagraphFont"/>
    <w:semiHidden/>
    <w:unhideWhenUsed/>
    <w:rsid w:val="001031B2"/>
    <w:rPr>
      <w:color w:val="800080" w:themeColor="followedHyperlink"/>
      <w:u w:val="single"/>
    </w:rPr>
  </w:style>
  <w:style w:type="paragraph" w:styleId="Revision">
    <w:name w:val="Revision"/>
    <w:hidden/>
    <w:uiPriority w:val="99"/>
    <w:semiHidden/>
    <w:rsid w:val="00333D6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73183">
      <w:bodyDiv w:val="1"/>
      <w:marLeft w:val="0"/>
      <w:marRight w:val="0"/>
      <w:marTop w:val="0"/>
      <w:marBottom w:val="0"/>
      <w:divBdr>
        <w:top w:val="none" w:sz="0" w:space="0" w:color="auto"/>
        <w:left w:val="none" w:sz="0" w:space="0" w:color="auto"/>
        <w:bottom w:val="none" w:sz="0" w:space="0" w:color="auto"/>
        <w:right w:val="none" w:sz="0" w:space="0" w:color="auto"/>
      </w:divBdr>
    </w:div>
    <w:div w:id="696583212">
      <w:bodyDiv w:val="1"/>
      <w:marLeft w:val="0"/>
      <w:marRight w:val="0"/>
      <w:marTop w:val="0"/>
      <w:marBottom w:val="0"/>
      <w:divBdr>
        <w:top w:val="none" w:sz="0" w:space="0" w:color="auto"/>
        <w:left w:val="none" w:sz="0" w:space="0" w:color="auto"/>
        <w:bottom w:val="none" w:sz="0" w:space="0" w:color="auto"/>
        <w:right w:val="none" w:sz="0" w:space="0" w:color="auto"/>
      </w:divBdr>
    </w:div>
    <w:div w:id="697434251">
      <w:bodyDiv w:val="1"/>
      <w:marLeft w:val="0"/>
      <w:marRight w:val="0"/>
      <w:marTop w:val="0"/>
      <w:marBottom w:val="0"/>
      <w:divBdr>
        <w:top w:val="none" w:sz="0" w:space="0" w:color="auto"/>
        <w:left w:val="none" w:sz="0" w:space="0" w:color="auto"/>
        <w:bottom w:val="none" w:sz="0" w:space="0" w:color="auto"/>
        <w:right w:val="none" w:sz="0" w:space="0" w:color="auto"/>
      </w:divBdr>
    </w:div>
    <w:div w:id="793132766">
      <w:bodyDiv w:val="1"/>
      <w:marLeft w:val="0"/>
      <w:marRight w:val="0"/>
      <w:marTop w:val="0"/>
      <w:marBottom w:val="0"/>
      <w:divBdr>
        <w:top w:val="none" w:sz="0" w:space="0" w:color="auto"/>
        <w:left w:val="none" w:sz="0" w:space="0" w:color="auto"/>
        <w:bottom w:val="none" w:sz="0" w:space="0" w:color="auto"/>
        <w:right w:val="none" w:sz="0" w:space="0" w:color="auto"/>
      </w:divBdr>
    </w:div>
    <w:div w:id="1009793106">
      <w:bodyDiv w:val="1"/>
      <w:marLeft w:val="0"/>
      <w:marRight w:val="0"/>
      <w:marTop w:val="0"/>
      <w:marBottom w:val="0"/>
      <w:divBdr>
        <w:top w:val="none" w:sz="0" w:space="0" w:color="auto"/>
        <w:left w:val="none" w:sz="0" w:space="0" w:color="auto"/>
        <w:bottom w:val="none" w:sz="0" w:space="0" w:color="auto"/>
        <w:right w:val="none" w:sz="0" w:space="0" w:color="auto"/>
      </w:divBdr>
    </w:div>
    <w:div w:id="1042442967">
      <w:bodyDiv w:val="1"/>
      <w:marLeft w:val="0"/>
      <w:marRight w:val="0"/>
      <w:marTop w:val="0"/>
      <w:marBottom w:val="0"/>
      <w:divBdr>
        <w:top w:val="none" w:sz="0" w:space="0" w:color="auto"/>
        <w:left w:val="none" w:sz="0" w:space="0" w:color="auto"/>
        <w:bottom w:val="none" w:sz="0" w:space="0" w:color="auto"/>
        <w:right w:val="none" w:sz="0" w:space="0" w:color="auto"/>
      </w:divBdr>
    </w:div>
    <w:div w:id="1182159589">
      <w:bodyDiv w:val="1"/>
      <w:marLeft w:val="0"/>
      <w:marRight w:val="0"/>
      <w:marTop w:val="0"/>
      <w:marBottom w:val="0"/>
      <w:divBdr>
        <w:top w:val="none" w:sz="0" w:space="0" w:color="auto"/>
        <w:left w:val="none" w:sz="0" w:space="0" w:color="auto"/>
        <w:bottom w:val="none" w:sz="0" w:space="0" w:color="auto"/>
        <w:right w:val="none" w:sz="0" w:space="0" w:color="auto"/>
      </w:divBdr>
    </w:div>
    <w:div w:id="1697927879">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arrow.gov.uk/downloads/file/29830/annual_cil_rate_summary_2022.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David.Hughes@harrow.gov.uk"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gov.uk/guidance/community-infrastructure-levy" TargetMode="External"/><Relationship Id="rId10" Type="http://schemas.openxmlformats.org/officeDocument/2006/relationships/endnotes" Target="endnotes.xml"/><Relationship Id="rId19" Type="http://schemas.openxmlformats.org/officeDocument/2006/relationships/hyperlink" Target="https://moderngov.harrow.gov.uk/ieListDocuments.aspx?CId=249&amp;MId=64137&amp;Ver=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6E203E-24F2-4DA3-A6E5-0E64AF09A893}">
  <ds:schemaRefs>
    <ds:schemaRef ds:uri="http://schemas.openxmlformats.org/officeDocument/2006/bibliography"/>
  </ds:schemaRefs>
</ds:datastoreItem>
</file>

<file path=customXml/itemProps2.xml><?xml version="1.0" encoding="utf-8"?>
<ds:datastoreItem xmlns:ds="http://schemas.openxmlformats.org/officeDocument/2006/customXml" ds:itemID="{DC8F4ACF-3590-4AFA-B6D3-758BA428D5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20554A-BA27-44A4-B638-B8DA94A8F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5FA061-2DE8-47AC-B80E-2C4AA64F5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16</Pages>
  <Words>4760</Words>
  <Characters>27450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32146</CharactersWithSpaces>
  <SharedDoc>false</SharedDoc>
  <HLinks>
    <vt:vector size="30" baseType="variant">
      <vt:variant>
        <vt:i4>4718623</vt:i4>
      </vt:variant>
      <vt:variant>
        <vt:i4>12</vt:i4>
      </vt:variant>
      <vt:variant>
        <vt:i4>0</vt:i4>
      </vt:variant>
      <vt:variant>
        <vt:i4>5</vt:i4>
      </vt:variant>
      <vt:variant>
        <vt:lpwstr>https://moderngov.harrow.gov.uk/ieListDocuments.aspx?CId=249&amp;MId=64137&amp;Ver=4</vt:lpwstr>
      </vt:variant>
      <vt:variant>
        <vt:lpwstr/>
      </vt:variant>
      <vt:variant>
        <vt:i4>3866682</vt:i4>
      </vt:variant>
      <vt:variant>
        <vt:i4>9</vt:i4>
      </vt:variant>
      <vt:variant>
        <vt:i4>0</vt:i4>
      </vt:variant>
      <vt:variant>
        <vt:i4>5</vt:i4>
      </vt:variant>
      <vt:variant>
        <vt:lpwstr>https://www.harrow.gov.uk/downloads/file/29830/annual_cil_rate_summary_2022.pdf</vt:lpwstr>
      </vt:variant>
      <vt:variant>
        <vt:lpwstr/>
      </vt:variant>
      <vt:variant>
        <vt:i4>4063256</vt:i4>
      </vt:variant>
      <vt:variant>
        <vt:i4>6</vt:i4>
      </vt:variant>
      <vt:variant>
        <vt:i4>0</vt:i4>
      </vt:variant>
      <vt:variant>
        <vt:i4>5</vt:i4>
      </vt:variant>
      <vt:variant>
        <vt:lpwstr>mailto:David.Hughes@harrow.gov.uk</vt:lpwstr>
      </vt:variant>
      <vt:variant>
        <vt:lpwstr/>
      </vt:variant>
      <vt:variant>
        <vt:i4>91</vt:i4>
      </vt:variant>
      <vt:variant>
        <vt:i4>3</vt:i4>
      </vt:variant>
      <vt:variant>
        <vt:i4>0</vt:i4>
      </vt:variant>
      <vt:variant>
        <vt:i4>5</vt:i4>
      </vt:variant>
      <vt:variant>
        <vt:lpwstr>https://www.gov.uk/guidance/community-infrastructure-levy</vt:lpwstr>
      </vt:variant>
      <vt:variant>
        <vt:lpwstr/>
      </vt:variant>
      <vt:variant>
        <vt:i4>2621487</vt:i4>
      </vt:variant>
      <vt:variant>
        <vt:i4>0</vt:i4>
      </vt:variant>
      <vt:variant>
        <vt:i4>0</vt:i4>
      </vt:variant>
      <vt:variant>
        <vt:i4>5</vt:i4>
      </vt:variant>
      <vt:variant>
        <vt:lpwstr>https://www.legislation.gov.uk/uksi/2010/948/contents/made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David Hughes</cp:lastModifiedBy>
  <cp:revision>7</cp:revision>
  <cp:lastPrinted>2014-11-17T16:34:00Z</cp:lastPrinted>
  <dcterms:created xsi:type="dcterms:W3CDTF">2022-09-14T15:23:00Z</dcterms:created>
  <dcterms:modified xsi:type="dcterms:W3CDTF">2022-09-22T16:23:00Z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